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70092">
      <w:pPr>
        <w:spacing w:line="360" w:lineRule="auto"/>
        <w:jc w:val="center"/>
        <w:rPr>
          <w:rFonts w:ascii="Times New Roman" w:hAnsi="Times New Roman" w:eastAsia="黑体" w:cs="Times New Roman"/>
          <w:b/>
          <w:bCs/>
          <w:color w:val="auto"/>
          <w:sz w:val="96"/>
          <w:szCs w:val="96"/>
        </w:rPr>
      </w:pPr>
    </w:p>
    <w:p w14:paraId="391DD050">
      <w:pPr>
        <w:spacing w:line="360" w:lineRule="auto"/>
        <w:jc w:val="center"/>
        <w:rPr>
          <w:rFonts w:ascii="Times New Roman" w:hAnsi="Times New Roman" w:eastAsia="黑体" w:cs="Times New Roman"/>
          <w:b/>
          <w:bCs/>
          <w:color w:val="auto"/>
          <w:sz w:val="96"/>
          <w:szCs w:val="96"/>
        </w:rPr>
      </w:pPr>
    </w:p>
    <w:p w14:paraId="47CD4D6D">
      <w:pPr>
        <w:spacing w:line="360" w:lineRule="auto"/>
        <w:jc w:val="center"/>
        <w:rPr>
          <w:rFonts w:ascii="Times New Roman" w:hAnsi="Times New Roman" w:eastAsia="黑体" w:cs="Times New Roman"/>
          <w:b/>
          <w:bCs/>
          <w:color w:val="auto"/>
          <w:sz w:val="96"/>
          <w:szCs w:val="96"/>
        </w:rPr>
      </w:pPr>
    </w:p>
    <w:p w14:paraId="2A202990">
      <w:pPr>
        <w:spacing w:line="360" w:lineRule="auto"/>
        <w:jc w:val="center"/>
        <w:rPr>
          <w:rFonts w:ascii="Times New Roman" w:hAnsi="Times New Roman" w:eastAsia="黑体" w:cs="Times New Roman"/>
          <w:b/>
          <w:bCs/>
          <w:color w:val="auto"/>
          <w:sz w:val="96"/>
          <w:szCs w:val="96"/>
          <w:lang w:eastAsia="zh-CN"/>
        </w:rPr>
      </w:pPr>
      <w:r>
        <w:rPr>
          <w:rFonts w:hint="eastAsia" w:ascii="Times New Roman" w:hAnsi="Times New Roman" w:eastAsia="黑体" w:cs="Times New Roman"/>
          <w:b/>
          <w:bCs/>
          <w:color w:val="auto"/>
          <w:sz w:val="96"/>
          <w:szCs w:val="96"/>
          <w:lang w:eastAsia="zh-CN"/>
        </w:rPr>
        <w:t>竞争性比选文件</w:t>
      </w:r>
    </w:p>
    <w:p w14:paraId="2EE7406C">
      <w:pPr>
        <w:spacing w:line="360" w:lineRule="auto"/>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（编号：</w:t>
      </w:r>
      <w:r>
        <w:rPr>
          <w:rFonts w:hint="eastAsia" w:ascii="Times New Roman" w:hAnsi="Times New Roman" w:eastAsia="仿宋" w:cs="Times New Roman"/>
          <w:color w:val="auto"/>
          <w:sz w:val="24"/>
          <w:szCs w:val="24"/>
          <w:lang w:eastAsia="zh-CN"/>
        </w:rPr>
        <w:t>CQIP-2025121102</w:t>
      </w:r>
      <w:r>
        <w:rPr>
          <w:rFonts w:ascii="Times New Roman" w:hAnsi="Times New Roman" w:eastAsia="仿宋" w:cs="Times New Roman"/>
          <w:color w:val="auto"/>
          <w:sz w:val="24"/>
          <w:szCs w:val="24"/>
          <w:lang w:eastAsia="zh-CN"/>
        </w:rPr>
        <w:t>）</w:t>
      </w:r>
    </w:p>
    <w:p w14:paraId="789F312B">
      <w:pPr>
        <w:spacing w:line="360" w:lineRule="auto"/>
        <w:jc w:val="center"/>
        <w:rPr>
          <w:rFonts w:ascii="Times New Roman" w:hAnsi="Times New Roman" w:eastAsia="仿宋" w:cs="Times New Roman"/>
          <w:color w:val="auto"/>
          <w:sz w:val="24"/>
          <w:szCs w:val="24"/>
          <w:lang w:eastAsia="zh-CN"/>
        </w:rPr>
      </w:pPr>
    </w:p>
    <w:p w14:paraId="0E2E38D5">
      <w:pPr>
        <w:spacing w:line="360" w:lineRule="auto"/>
        <w:jc w:val="center"/>
        <w:rPr>
          <w:rFonts w:ascii="Times New Roman" w:hAnsi="Times New Roman" w:eastAsia="仿宋" w:cs="Times New Roman"/>
          <w:color w:val="auto"/>
          <w:sz w:val="24"/>
          <w:szCs w:val="24"/>
          <w:lang w:eastAsia="zh-CN"/>
        </w:rPr>
      </w:pPr>
    </w:p>
    <w:p w14:paraId="1E4700BF">
      <w:pPr>
        <w:spacing w:line="360" w:lineRule="auto"/>
        <w:jc w:val="center"/>
        <w:rPr>
          <w:rFonts w:ascii="Times New Roman" w:hAnsi="Times New Roman" w:eastAsia="仿宋" w:cs="Times New Roman"/>
          <w:color w:val="auto"/>
          <w:sz w:val="24"/>
          <w:szCs w:val="24"/>
          <w:lang w:eastAsia="zh-CN"/>
        </w:rPr>
      </w:pPr>
    </w:p>
    <w:p w14:paraId="24F47029">
      <w:pPr>
        <w:spacing w:line="360" w:lineRule="auto"/>
        <w:jc w:val="center"/>
        <w:rPr>
          <w:rFonts w:ascii="Times New Roman" w:hAnsi="Times New Roman" w:eastAsia="仿宋" w:cs="Times New Roman"/>
          <w:color w:val="auto"/>
          <w:sz w:val="24"/>
          <w:szCs w:val="24"/>
          <w:lang w:eastAsia="zh-CN"/>
        </w:rPr>
      </w:pPr>
    </w:p>
    <w:p w14:paraId="507FA764">
      <w:pPr>
        <w:spacing w:line="360" w:lineRule="auto"/>
        <w:jc w:val="center"/>
        <w:rPr>
          <w:rFonts w:ascii="Times New Roman" w:hAnsi="Times New Roman" w:eastAsia="仿宋" w:cs="Times New Roman"/>
          <w:color w:val="auto"/>
          <w:sz w:val="24"/>
          <w:szCs w:val="24"/>
          <w:lang w:eastAsia="zh-CN"/>
        </w:rPr>
      </w:pPr>
    </w:p>
    <w:p w14:paraId="4C4580A4">
      <w:pPr>
        <w:spacing w:line="360" w:lineRule="auto"/>
        <w:jc w:val="center"/>
        <w:rPr>
          <w:rFonts w:ascii="Times New Roman" w:hAnsi="Times New Roman" w:eastAsia="仿宋" w:cs="Times New Roman"/>
          <w:color w:val="auto"/>
          <w:sz w:val="24"/>
          <w:szCs w:val="24"/>
          <w:lang w:eastAsia="zh-CN"/>
        </w:rPr>
      </w:pPr>
    </w:p>
    <w:p w14:paraId="21650133">
      <w:pPr>
        <w:spacing w:line="360" w:lineRule="auto"/>
        <w:jc w:val="center"/>
        <w:rPr>
          <w:rFonts w:ascii="Times New Roman" w:hAnsi="Times New Roman" w:eastAsia="仿宋" w:cs="Times New Roman"/>
          <w:color w:val="auto"/>
          <w:sz w:val="24"/>
          <w:szCs w:val="24"/>
          <w:lang w:eastAsia="zh-CN"/>
        </w:rPr>
      </w:pPr>
    </w:p>
    <w:p w14:paraId="03CD2806">
      <w:pPr>
        <w:spacing w:line="560" w:lineRule="exact"/>
        <w:ind w:left="2520" w:hanging="2521" w:hangingChars="700"/>
        <w:jc w:val="both"/>
        <w:rPr>
          <w:rFonts w:ascii="Times New Roman" w:hAnsi="Times New Roman" w:eastAsia="微软雅黑" w:cs="Times New Roman"/>
          <w:color w:val="auto"/>
          <w:sz w:val="36"/>
          <w:szCs w:val="36"/>
          <w:lang w:eastAsia="zh-CN"/>
        </w:rPr>
      </w:pPr>
      <w:r>
        <w:rPr>
          <w:rFonts w:ascii="Times New Roman" w:hAnsi="Times New Roman" w:eastAsia="微软雅黑" w:cs="Times New Roman"/>
          <w:b/>
          <w:bCs/>
          <w:color w:val="auto"/>
          <w:sz w:val="36"/>
          <w:szCs w:val="36"/>
          <w:lang w:eastAsia="zh-CN"/>
        </w:rPr>
        <w:t xml:space="preserve">  </w:t>
      </w:r>
      <w:r>
        <w:rPr>
          <w:rFonts w:hint="eastAsia" w:ascii="Times New Roman" w:hAnsi="Times New Roman" w:eastAsia="微软雅黑" w:cs="Times New Roman"/>
          <w:b/>
          <w:bCs/>
          <w:color w:val="auto"/>
          <w:sz w:val="36"/>
          <w:szCs w:val="36"/>
          <w:lang w:eastAsia="zh-CN"/>
        </w:rPr>
        <w:t xml:space="preserve">  </w:t>
      </w:r>
      <w:r>
        <w:rPr>
          <w:rFonts w:ascii="Times New Roman" w:hAnsi="Times New Roman" w:eastAsia="微软雅黑" w:cs="Times New Roman"/>
          <w:b/>
          <w:bCs/>
          <w:color w:val="auto"/>
          <w:sz w:val="36"/>
          <w:szCs w:val="36"/>
          <w:lang w:eastAsia="zh-CN"/>
        </w:rPr>
        <w:t>项目名称：</w:t>
      </w:r>
      <w:r>
        <w:rPr>
          <w:rFonts w:hint="eastAsia" w:ascii="Times New Roman" w:hAnsi="Times New Roman" w:eastAsia="微软雅黑" w:cs="Times New Roman"/>
          <w:color w:val="auto"/>
          <w:sz w:val="36"/>
          <w:szCs w:val="36"/>
          <w:lang w:eastAsia="zh-CN"/>
        </w:rPr>
        <w:t>半岛绿化设计施工一体化工程（</w:t>
      </w:r>
      <w:r>
        <w:rPr>
          <w:rFonts w:hint="eastAsia" w:ascii="Times New Roman" w:hAnsi="Times New Roman" w:eastAsia="微软雅黑" w:cs="Times New Roman"/>
          <w:color w:val="auto"/>
          <w:sz w:val="36"/>
          <w:szCs w:val="36"/>
          <w:lang w:val="en-US" w:eastAsia="zh-CN"/>
        </w:rPr>
        <w:t>第二次</w:t>
      </w:r>
      <w:r>
        <w:rPr>
          <w:rFonts w:hint="eastAsia" w:ascii="Times New Roman" w:hAnsi="Times New Roman" w:eastAsia="微软雅黑" w:cs="Times New Roman"/>
          <w:color w:val="auto"/>
          <w:sz w:val="36"/>
          <w:szCs w:val="36"/>
          <w:lang w:eastAsia="zh-CN"/>
        </w:rPr>
        <w:t>）</w:t>
      </w:r>
    </w:p>
    <w:p w14:paraId="70852C38">
      <w:pPr>
        <w:spacing w:line="360" w:lineRule="auto"/>
        <w:ind w:firstLine="720" w:firstLineChars="200"/>
        <w:jc w:val="both"/>
        <w:rPr>
          <w:rFonts w:ascii="Times New Roman" w:hAnsi="Times New Roman" w:eastAsia="微软雅黑" w:cs="Times New Roman"/>
          <w:color w:val="auto"/>
          <w:sz w:val="36"/>
          <w:szCs w:val="36"/>
          <w:lang w:eastAsia="zh-CN"/>
        </w:rPr>
      </w:pPr>
      <w:r>
        <w:rPr>
          <w:rFonts w:ascii="Times New Roman" w:hAnsi="Times New Roman" w:eastAsia="微软雅黑" w:cs="Times New Roman"/>
          <w:b/>
          <w:bCs/>
          <w:color w:val="auto"/>
          <w:sz w:val="36"/>
          <w:szCs w:val="36"/>
          <w:lang w:eastAsia="zh-CN"/>
        </w:rPr>
        <w:t>采 购 人：</w:t>
      </w:r>
      <w:r>
        <w:rPr>
          <w:rFonts w:ascii="Times New Roman" w:hAnsi="Times New Roman" w:eastAsia="微软雅黑" w:cs="Times New Roman"/>
          <w:color w:val="auto"/>
          <w:sz w:val="36"/>
          <w:szCs w:val="36"/>
          <w:lang w:eastAsia="zh-CN"/>
        </w:rPr>
        <w:t>重庆理工职业学院</w:t>
      </w:r>
    </w:p>
    <w:p w14:paraId="3FFE4978">
      <w:pPr>
        <w:spacing w:line="360" w:lineRule="auto"/>
        <w:ind w:firstLine="720"/>
        <w:jc w:val="center"/>
        <w:rPr>
          <w:rFonts w:ascii="Times New Roman" w:hAnsi="Times New Roman" w:eastAsia="微软雅黑" w:cs="Times New Roman"/>
          <w:b/>
          <w:bCs/>
          <w:color w:val="auto"/>
          <w:sz w:val="48"/>
          <w:szCs w:val="48"/>
          <w:lang w:eastAsia="zh-CN"/>
        </w:rPr>
      </w:pPr>
    </w:p>
    <w:p w14:paraId="19555471">
      <w:pPr>
        <w:spacing w:line="360" w:lineRule="auto"/>
        <w:jc w:val="center"/>
        <w:rPr>
          <w:rFonts w:ascii="Times New Roman" w:hAnsi="Times New Roman" w:eastAsia="仿宋" w:cs="Times New Roman"/>
          <w:color w:val="auto"/>
          <w:sz w:val="24"/>
          <w:szCs w:val="24"/>
          <w:lang w:eastAsia="zh-CN"/>
        </w:rPr>
      </w:pPr>
      <w:r>
        <w:rPr>
          <w:rFonts w:ascii="Times New Roman" w:hAnsi="Times New Roman" w:eastAsia="微软雅黑" w:cs="Times New Roman"/>
          <w:color w:val="auto"/>
          <w:sz w:val="36"/>
          <w:szCs w:val="36"/>
          <w:lang w:eastAsia="zh-CN"/>
        </w:rPr>
        <w:t>二〇二</w:t>
      </w:r>
      <w:r>
        <w:rPr>
          <w:rFonts w:hint="eastAsia" w:ascii="Times New Roman" w:hAnsi="Times New Roman" w:eastAsia="微软雅黑" w:cs="Times New Roman"/>
          <w:color w:val="auto"/>
          <w:sz w:val="36"/>
          <w:szCs w:val="36"/>
          <w:lang w:val="en-US" w:eastAsia="zh-CN"/>
        </w:rPr>
        <w:t>六</w:t>
      </w:r>
      <w:r>
        <w:rPr>
          <w:rFonts w:ascii="Times New Roman" w:hAnsi="Times New Roman" w:eastAsia="微软雅黑" w:cs="Times New Roman"/>
          <w:color w:val="auto"/>
          <w:sz w:val="36"/>
          <w:szCs w:val="36"/>
          <w:lang w:eastAsia="zh-CN"/>
        </w:rPr>
        <w:t>年</w:t>
      </w:r>
      <w:r>
        <w:rPr>
          <w:rFonts w:hint="eastAsia" w:ascii="Times New Roman" w:hAnsi="Times New Roman" w:eastAsia="微软雅黑" w:cs="Times New Roman"/>
          <w:color w:val="auto"/>
          <w:sz w:val="36"/>
          <w:szCs w:val="36"/>
          <w:lang w:val="en-US" w:eastAsia="zh-CN"/>
        </w:rPr>
        <w:t>一</w:t>
      </w:r>
      <w:r>
        <w:rPr>
          <w:rFonts w:ascii="Times New Roman" w:hAnsi="Times New Roman" w:eastAsia="微软雅黑" w:cs="Times New Roman"/>
          <w:color w:val="auto"/>
          <w:sz w:val="36"/>
          <w:szCs w:val="36"/>
          <w:lang w:eastAsia="zh-CN"/>
        </w:rPr>
        <w:t>月</w:t>
      </w:r>
    </w:p>
    <w:p w14:paraId="78A6BD90">
      <w:pPr>
        <w:spacing w:line="360" w:lineRule="auto"/>
        <w:jc w:val="center"/>
        <w:rPr>
          <w:rFonts w:ascii="Times New Roman" w:hAnsi="Times New Roman" w:eastAsia="仿宋" w:cs="Times New Roman"/>
          <w:color w:val="auto"/>
          <w:sz w:val="24"/>
          <w:szCs w:val="24"/>
          <w:lang w:eastAsia="zh-CN"/>
        </w:rPr>
        <w:sectPr>
          <w:headerReference r:id="rId3" w:type="default"/>
          <w:footerReference r:id="rId5" w:type="default"/>
          <w:headerReference r:id="rId4" w:type="even"/>
          <w:pgSz w:w="11907" w:h="16840"/>
          <w:pgMar w:top="0" w:right="1417" w:bottom="1031" w:left="1417" w:header="640" w:footer="567" w:gutter="0"/>
          <w:pgNumType w:start="0"/>
          <w:cols w:space="720" w:num="1"/>
        </w:sectPr>
      </w:pPr>
    </w:p>
    <w:p w14:paraId="79953057">
      <w:pPr>
        <w:spacing w:line="360" w:lineRule="auto"/>
        <w:jc w:val="center"/>
        <w:rPr>
          <w:rFonts w:ascii="Times New Roman" w:hAnsi="Times New Roman" w:eastAsia="仿宋" w:cs="Times New Roman"/>
          <w:color w:val="auto"/>
          <w:sz w:val="24"/>
          <w:szCs w:val="24"/>
          <w:lang w:eastAsia="zh-CN"/>
        </w:rPr>
      </w:pPr>
    </w:p>
    <w:p w14:paraId="35E3E95F">
      <w:pPr>
        <w:kinsoku/>
        <w:autoSpaceDE/>
        <w:autoSpaceDN/>
        <w:adjustRightInd/>
        <w:snapToGrid/>
        <w:jc w:val="center"/>
        <w:textAlignment w:val="auto"/>
        <w:rPr>
          <w:rFonts w:hint="eastAsia" w:ascii="仿宋" w:hAnsi="仿宋" w:eastAsia="仿宋" w:cs="仿宋"/>
          <w:b/>
          <w:bCs/>
          <w:snapToGrid/>
          <w:color w:val="auto"/>
          <w:kern w:val="2"/>
          <w:sz w:val="44"/>
          <w:szCs w:val="20"/>
          <w:lang w:eastAsia="zh-CN"/>
        </w:rPr>
        <w:sectPr>
          <w:footerReference r:id="rId6" w:type="default"/>
          <w:footerReference r:id="rId7" w:type="even"/>
          <w:type w:val="continuous"/>
          <w:pgSz w:w="11907" w:h="16840"/>
          <w:pgMar w:top="0" w:right="1417" w:bottom="1031" w:left="1417" w:header="640" w:footer="567" w:gutter="0"/>
          <w:pgNumType w:start="0"/>
          <w:cols w:space="720" w:num="1"/>
        </w:sectPr>
      </w:pPr>
    </w:p>
    <w:p w14:paraId="12E8DE02">
      <w:pPr>
        <w:kinsoku/>
        <w:autoSpaceDE/>
        <w:autoSpaceDN/>
        <w:adjustRightInd/>
        <w:snapToGrid/>
        <w:jc w:val="center"/>
        <w:textAlignment w:val="auto"/>
        <w:rPr>
          <w:rFonts w:hint="eastAsia" w:ascii="仿宋" w:hAnsi="仿宋" w:eastAsia="仿宋" w:cs="仿宋"/>
          <w:b/>
          <w:bCs/>
          <w:snapToGrid/>
          <w:color w:val="auto"/>
          <w:kern w:val="2"/>
          <w:sz w:val="44"/>
          <w:szCs w:val="20"/>
          <w:lang w:eastAsia="zh-CN"/>
        </w:rPr>
      </w:pPr>
      <w:r>
        <w:rPr>
          <w:rFonts w:hint="eastAsia" w:ascii="仿宋" w:hAnsi="仿宋" w:eastAsia="仿宋" w:cs="仿宋"/>
          <w:b/>
          <w:bCs/>
          <w:snapToGrid/>
          <w:color w:val="auto"/>
          <w:kern w:val="2"/>
          <w:sz w:val="44"/>
          <w:szCs w:val="20"/>
          <w:lang w:eastAsia="zh-CN"/>
        </w:rPr>
        <w:t>目  录</w:t>
      </w:r>
    </w:p>
    <w:p w14:paraId="0A999C04">
      <w:pPr>
        <w:widowControl w:val="0"/>
        <w:tabs>
          <w:tab w:val="right" w:leader="dot" w:pos="9410"/>
        </w:tabs>
        <w:kinsoku/>
        <w:autoSpaceDE/>
        <w:autoSpaceDN/>
        <w:adjustRightInd/>
        <w:snapToGrid/>
        <w:ind w:firstLine="316" w:firstLineChars="150"/>
        <w:jc w:val="both"/>
        <w:textAlignment w:val="auto"/>
        <w:rPr>
          <w:rFonts w:ascii="Times New Roman" w:hAnsi="Times New Roman" w:eastAsia="仿宋" w:cs="Times New Roman"/>
          <w:b/>
          <w:snapToGrid/>
          <w:color w:val="auto"/>
          <w:kern w:val="2"/>
          <w:sz w:val="28"/>
          <w:szCs w:val="20"/>
          <w:lang w:eastAsia="zh-CN"/>
        </w:rPr>
      </w:pPr>
      <w:r>
        <w:rPr>
          <w:rFonts w:hint="eastAsia" w:ascii="仿宋" w:hAnsi="仿宋" w:eastAsia="仿宋" w:cs="仿宋"/>
          <w:b/>
          <w:snapToGrid/>
          <w:color w:val="auto"/>
          <w:kern w:val="2"/>
          <w:lang w:eastAsia="zh-CN"/>
        </w:rPr>
        <w:fldChar w:fldCharType="begin"/>
      </w:r>
      <w:r>
        <w:rPr>
          <w:rFonts w:hint="eastAsia" w:ascii="仿宋" w:hAnsi="仿宋" w:eastAsia="仿宋" w:cs="仿宋"/>
          <w:b/>
          <w:snapToGrid/>
          <w:color w:val="auto"/>
          <w:kern w:val="2"/>
          <w:lang w:eastAsia="zh-CN"/>
        </w:rPr>
        <w:instrText xml:space="preserve"> TOC \o "1-2" \h \z </w:instrText>
      </w:r>
      <w:r>
        <w:rPr>
          <w:rFonts w:hint="eastAsia" w:ascii="仿宋" w:hAnsi="仿宋" w:eastAsia="仿宋" w:cs="仿宋"/>
          <w:b/>
          <w:snapToGrid/>
          <w:color w:val="auto"/>
          <w:kern w:val="2"/>
          <w:lang w:eastAsia="zh-CN"/>
        </w:rPr>
        <w:fldChar w:fldCharType="separate"/>
      </w:r>
      <w:r>
        <w:fldChar w:fldCharType="begin"/>
      </w:r>
      <w:r>
        <w:instrText xml:space="preserve"> HYPERLINK \l "_Toc2903" </w:instrText>
      </w:r>
      <w:r>
        <w:fldChar w:fldCharType="separate"/>
      </w:r>
      <w:r>
        <w:rPr>
          <w:rFonts w:hint="eastAsia" w:ascii="仿宋" w:hAnsi="仿宋" w:eastAsia="仿宋" w:cs="仿宋"/>
          <w:b/>
          <w:snapToGrid/>
          <w:color w:val="auto"/>
          <w:kern w:val="2"/>
          <w:sz w:val="28"/>
          <w:szCs w:val="20"/>
          <w:lang w:eastAsia="zh-CN"/>
        </w:rPr>
        <w:t>第一篇  采购邀请书</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_Toc2903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2</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4202FC2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"_Toc10155" </w:instrText>
      </w:r>
      <w:r>
        <w:fldChar w:fldCharType="separate"/>
      </w:r>
      <w:r>
        <w:rPr>
          <w:rFonts w:hint="eastAsia" w:ascii="仿宋" w:hAnsi="仿宋" w:eastAsia="仿宋" w:cs="仿宋"/>
          <w:snapToGrid/>
          <w:color w:val="auto"/>
          <w:kern w:val="2"/>
          <w:sz w:val="24"/>
          <w:szCs w:val="20"/>
          <w:lang w:eastAsia="zh-CN"/>
        </w:rPr>
        <w:t>一、比选项目内容</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_Toc10155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07902E93">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"_Toc24089" </w:instrText>
      </w:r>
      <w:r>
        <w:fldChar w:fldCharType="separate"/>
      </w:r>
      <w:r>
        <w:rPr>
          <w:rFonts w:hint="eastAsia" w:ascii="仿宋" w:hAnsi="仿宋" w:eastAsia="仿宋" w:cs="仿宋"/>
          <w:snapToGrid/>
          <w:color w:val="auto"/>
          <w:kern w:val="2"/>
          <w:sz w:val="24"/>
          <w:szCs w:val="20"/>
          <w:lang w:eastAsia="zh-CN"/>
        </w:rPr>
        <w:t>二、资金来源</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_Toc24089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1577F0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"_Toc13885" </w:instrText>
      </w:r>
      <w:r>
        <w:fldChar w:fldCharType="separate"/>
      </w:r>
      <w:r>
        <w:rPr>
          <w:rFonts w:hint="eastAsia" w:ascii="仿宋" w:hAnsi="仿宋" w:eastAsia="仿宋" w:cs="仿宋"/>
          <w:snapToGrid/>
          <w:color w:val="auto"/>
          <w:kern w:val="2"/>
          <w:sz w:val="24"/>
          <w:szCs w:val="20"/>
          <w:lang w:eastAsia="zh-CN"/>
        </w:rPr>
        <w:t>三、资格要求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_Toc13885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4B180F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"_Toc2808" </w:instrText>
      </w:r>
      <w:r>
        <w:fldChar w:fldCharType="separate"/>
      </w:r>
      <w:r>
        <w:rPr>
          <w:rFonts w:hint="eastAsia" w:ascii="仿宋" w:hAnsi="仿宋" w:eastAsia="仿宋" w:cs="仿宋"/>
          <w:snapToGrid/>
          <w:color w:val="auto"/>
          <w:kern w:val="2"/>
          <w:sz w:val="24"/>
          <w:szCs w:val="20"/>
          <w:lang w:eastAsia="zh-CN"/>
        </w:rPr>
        <w:t>四、比选有关说明</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_Toc2808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8AD77D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"_Toc26701" </w:instrText>
      </w:r>
      <w:r>
        <w:fldChar w:fldCharType="separate"/>
      </w:r>
      <w:r>
        <w:rPr>
          <w:rFonts w:hint="eastAsia" w:ascii="仿宋" w:hAnsi="仿宋" w:eastAsia="仿宋" w:cs="仿宋"/>
          <w:snapToGrid/>
          <w:color w:val="auto"/>
          <w:kern w:val="2"/>
          <w:sz w:val="24"/>
          <w:szCs w:val="20"/>
          <w:lang w:eastAsia="zh-CN"/>
        </w:rPr>
        <w:t>五、响应保证金</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_Toc26701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1DC6E51">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"_Toc28810" </w:instrText>
      </w:r>
      <w:r>
        <w:fldChar w:fldCharType="separate"/>
      </w:r>
      <w:r>
        <w:rPr>
          <w:rFonts w:hint="eastAsia" w:ascii="仿宋" w:hAnsi="仿宋" w:eastAsia="仿宋" w:cs="仿宋"/>
          <w:snapToGrid/>
          <w:color w:val="auto"/>
          <w:kern w:val="2"/>
          <w:sz w:val="24"/>
          <w:szCs w:val="20"/>
          <w:lang w:eastAsia="zh-CN"/>
        </w:rPr>
        <w:t>六、比选有关规定</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_Toc28810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FDF2C88">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"_Toc28810" </w:instrText>
      </w:r>
      <w:r>
        <w:fldChar w:fldCharType="separate"/>
      </w:r>
      <w:r>
        <w:rPr>
          <w:rFonts w:hint="eastAsia" w:ascii="仿宋" w:hAnsi="仿宋" w:eastAsia="仿宋" w:cs="仿宋"/>
          <w:snapToGrid/>
          <w:color w:val="auto"/>
          <w:kern w:val="2"/>
          <w:sz w:val="24"/>
          <w:szCs w:val="20"/>
          <w:lang w:eastAsia="zh-CN"/>
        </w:rPr>
        <w:t>七、联系方式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_Toc28810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4</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080FE21">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"_Toc2321" </w:instrText>
      </w:r>
      <w:r>
        <w:fldChar w:fldCharType="separate"/>
      </w:r>
      <w:r>
        <w:rPr>
          <w:rFonts w:hint="eastAsia" w:ascii="仿宋" w:hAnsi="仿宋" w:eastAsia="仿宋" w:cs="仿宋"/>
          <w:b/>
          <w:snapToGrid/>
          <w:color w:val="auto"/>
          <w:kern w:val="2"/>
          <w:sz w:val="28"/>
          <w:szCs w:val="20"/>
          <w:lang w:eastAsia="zh-CN"/>
        </w:rPr>
        <w:t xml:space="preserve">第二篇 </w:t>
      </w:r>
      <w:r>
        <w:rPr>
          <w:rFonts w:hint="eastAsia" w:ascii="仿宋" w:hAnsi="仿宋" w:eastAsia="仿宋" w:cs="仿宋"/>
          <w:b/>
          <w:snapToGrid/>
          <w:color w:val="auto"/>
          <w:kern w:val="2"/>
          <w:sz w:val="28"/>
          <w:szCs w:val="20"/>
        </w:rPr>
        <w:t>项目</w:t>
      </w:r>
      <w:r>
        <w:rPr>
          <w:rFonts w:hint="eastAsia" w:ascii="仿宋" w:hAnsi="仿宋" w:eastAsia="仿宋" w:cs="仿宋"/>
          <w:b/>
          <w:snapToGrid/>
          <w:color w:val="auto"/>
          <w:kern w:val="2"/>
          <w:sz w:val="28"/>
          <w:szCs w:val="20"/>
          <w:lang w:eastAsia="zh-CN"/>
        </w:rPr>
        <w:t>技术</w:t>
      </w:r>
      <w:r>
        <w:rPr>
          <w:rFonts w:hint="eastAsia" w:ascii="仿宋" w:hAnsi="仿宋" w:eastAsia="仿宋" w:cs="仿宋"/>
          <w:b/>
          <w:snapToGrid/>
          <w:color w:val="auto"/>
          <w:kern w:val="2"/>
          <w:sz w:val="28"/>
          <w:szCs w:val="20"/>
        </w:rPr>
        <w:t>需求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_Toc2321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5</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5FA2169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"_Toc13814" </w:instrText>
      </w:r>
      <w:r>
        <w:fldChar w:fldCharType="separate"/>
      </w:r>
      <w:r>
        <w:rPr>
          <w:rFonts w:hint="eastAsia" w:ascii="仿宋" w:hAnsi="仿宋" w:eastAsia="仿宋" w:cs="仿宋"/>
          <w:bCs/>
          <w:snapToGrid/>
          <w:color w:val="auto"/>
          <w:kern w:val="2"/>
          <w:sz w:val="24"/>
          <w:szCs w:val="24"/>
          <w:lang w:eastAsia="zh-CN"/>
        </w:rPr>
        <w:t>一、</w:t>
      </w:r>
      <w:r>
        <w:rPr>
          <w:rFonts w:hint="eastAsia" w:ascii="仿宋" w:hAnsi="仿宋" w:eastAsia="仿宋" w:cs="仿宋"/>
          <w:snapToGrid/>
          <w:color w:val="auto"/>
          <w:kern w:val="2"/>
          <w:sz w:val="24"/>
          <w:szCs w:val="20"/>
          <w:lang w:eastAsia="zh-CN"/>
        </w:rPr>
        <w:t>工程名称</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_Toc13814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84ABB69">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"_Toc27977" </w:instrText>
      </w:r>
      <w:r>
        <w:fldChar w:fldCharType="separate"/>
      </w:r>
      <w:r>
        <w:rPr>
          <w:rFonts w:hint="eastAsia" w:ascii="仿宋" w:hAnsi="仿宋" w:eastAsia="仿宋" w:cs="仿宋"/>
          <w:bCs/>
          <w:snapToGrid/>
          <w:color w:val="auto"/>
          <w:kern w:val="2"/>
          <w:sz w:val="24"/>
          <w:szCs w:val="24"/>
          <w:lang w:eastAsia="zh-CN"/>
        </w:rPr>
        <w:t>二、</w:t>
      </w:r>
      <w:r>
        <w:rPr>
          <w:rFonts w:hint="eastAsia" w:ascii="仿宋" w:hAnsi="仿宋" w:eastAsia="仿宋" w:cs="仿宋"/>
          <w:snapToGrid/>
          <w:color w:val="auto"/>
          <w:kern w:val="2"/>
          <w:sz w:val="24"/>
          <w:szCs w:val="20"/>
          <w:lang w:eastAsia="zh-CN"/>
        </w:rPr>
        <w:t>工程地点</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_Toc27977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6048955">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"_Toc26871" </w:instrText>
      </w:r>
      <w:r>
        <w:fldChar w:fldCharType="separate"/>
      </w:r>
      <w:r>
        <w:rPr>
          <w:rFonts w:hint="eastAsia" w:ascii="仿宋" w:hAnsi="仿宋" w:eastAsia="仿宋" w:cs="仿宋"/>
          <w:bCs/>
          <w:snapToGrid/>
          <w:color w:val="auto"/>
          <w:kern w:val="2"/>
          <w:sz w:val="24"/>
          <w:szCs w:val="24"/>
          <w:lang w:eastAsia="zh-CN"/>
        </w:rPr>
        <w:t>三、</w:t>
      </w:r>
      <w:r>
        <w:rPr>
          <w:rFonts w:hint="eastAsia" w:ascii="仿宋" w:hAnsi="仿宋" w:eastAsia="仿宋" w:cs="仿宋"/>
          <w:snapToGrid/>
          <w:color w:val="auto"/>
          <w:kern w:val="2"/>
          <w:sz w:val="24"/>
          <w:szCs w:val="20"/>
          <w:lang w:eastAsia="zh-CN"/>
        </w:rPr>
        <w:t>工程设计及施工承包范围</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_Toc26871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71541B8">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"_Toc15850" </w:instrText>
      </w:r>
      <w:r>
        <w:fldChar w:fldCharType="separate"/>
      </w:r>
      <w:r>
        <w:rPr>
          <w:rFonts w:hint="eastAsia" w:ascii="仿宋" w:hAnsi="仿宋" w:eastAsia="仿宋" w:cs="仿宋"/>
          <w:bCs/>
          <w:snapToGrid/>
          <w:color w:val="auto"/>
          <w:kern w:val="2"/>
          <w:sz w:val="24"/>
          <w:szCs w:val="24"/>
          <w:lang w:eastAsia="zh-CN"/>
        </w:rPr>
        <w:t>四、工期要求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_Toc15850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5870065">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"_Toc8268" </w:instrText>
      </w:r>
      <w:r>
        <w:fldChar w:fldCharType="separate"/>
      </w:r>
      <w:r>
        <w:rPr>
          <w:rFonts w:hint="eastAsia" w:ascii="仿宋" w:hAnsi="仿宋" w:eastAsia="仿宋" w:cs="仿宋"/>
          <w:bCs/>
          <w:snapToGrid/>
          <w:color w:val="auto"/>
          <w:kern w:val="2"/>
          <w:sz w:val="24"/>
          <w:szCs w:val="24"/>
          <w:lang w:eastAsia="zh-CN"/>
        </w:rPr>
        <w:t>五、质量要求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_Toc8268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726E048">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"_Toc27112" </w:instrText>
      </w:r>
      <w:r>
        <w:fldChar w:fldCharType="separate"/>
      </w:r>
      <w:r>
        <w:rPr>
          <w:rFonts w:hint="eastAsia" w:ascii="仿宋" w:hAnsi="仿宋" w:eastAsia="仿宋" w:cs="仿宋"/>
          <w:bCs/>
          <w:snapToGrid/>
          <w:color w:val="auto"/>
          <w:kern w:val="2"/>
          <w:sz w:val="24"/>
          <w:szCs w:val="24"/>
          <w:lang w:eastAsia="zh-CN"/>
        </w:rPr>
        <w:t>六、安全要求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_Toc27112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9770FD6">
      <w:pPr>
        <w:widowControl w:val="0"/>
        <w:tabs>
          <w:tab w:val="right" w:leader="dot" w:pos="9410"/>
        </w:tabs>
        <w:kinsoku/>
        <w:autoSpaceDE/>
        <w:autoSpaceDN/>
        <w:adjustRightInd/>
        <w:snapToGrid/>
        <w:ind w:left="210" w:leftChars="100" w:right="-191" w:rightChars="-91" w:firstLine="420" w:firstLineChars="200"/>
        <w:jc w:val="both"/>
        <w:textAlignment w:val="auto"/>
        <w:rPr>
          <w:rFonts w:hint="eastAsia" w:ascii="仿宋" w:hAnsi="仿宋" w:eastAsia="仿宋" w:cs="仿宋"/>
          <w:snapToGrid/>
          <w:color w:val="auto"/>
          <w:kern w:val="2"/>
          <w:sz w:val="24"/>
          <w:lang w:eastAsia="zh-CN"/>
        </w:rPr>
      </w:pPr>
      <w:r>
        <w:fldChar w:fldCharType="begin"/>
      </w:r>
      <w:r>
        <w:instrText xml:space="preserve"> HYPERLINK \l "_Toc27112" </w:instrText>
      </w:r>
      <w:r>
        <w:fldChar w:fldCharType="separate"/>
      </w:r>
      <w:r>
        <w:rPr>
          <w:rFonts w:hint="eastAsia" w:ascii="仿宋" w:hAnsi="仿宋" w:eastAsia="仿宋" w:cs="仿宋"/>
          <w:bCs/>
          <w:snapToGrid/>
          <w:color w:val="auto"/>
          <w:kern w:val="2"/>
          <w:sz w:val="24"/>
          <w:szCs w:val="24"/>
          <w:lang w:eastAsia="zh-CN"/>
        </w:rPr>
        <w:t>七、</w:t>
      </w:r>
      <w:r>
        <w:rPr>
          <w:rFonts w:hint="eastAsia" w:ascii="仿宋" w:hAnsi="仿宋" w:eastAsia="仿宋" w:cs="仿宋"/>
          <w:snapToGrid/>
          <w:color w:val="auto"/>
          <w:kern w:val="2"/>
          <w:sz w:val="24"/>
          <w:szCs w:val="20"/>
          <w:lang w:eastAsia="zh-CN"/>
        </w:rPr>
        <w:t>踏勘现场</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_Toc27112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5</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7A74AF3">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"_Toc15744" </w:instrText>
      </w:r>
      <w:r>
        <w:fldChar w:fldCharType="separate"/>
      </w:r>
      <w:r>
        <w:rPr>
          <w:rFonts w:hint="eastAsia" w:ascii="仿宋" w:hAnsi="仿宋" w:eastAsia="仿宋" w:cs="仿宋"/>
          <w:b/>
          <w:snapToGrid/>
          <w:color w:val="auto"/>
          <w:kern w:val="2"/>
          <w:sz w:val="28"/>
          <w:szCs w:val="20"/>
          <w:lang w:eastAsia="zh-CN"/>
        </w:rPr>
        <w:t>第三篇  项目商务需求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_Toc15744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7</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47F32DAF">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"_Toc26976" </w:instrText>
      </w:r>
      <w:r>
        <w:fldChar w:fldCharType="separate"/>
      </w:r>
      <w:r>
        <w:rPr>
          <w:rFonts w:hint="eastAsia" w:ascii="仿宋" w:hAnsi="仿宋" w:eastAsia="仿宋" w:cs="仿宋"/>
          <w:snapToGrid/>
          <w:color w:val="auto"/>
          <w:kern w:val="2"/>
          <w:sz w:val="24"/>
          <w:szCs w:val="20"/>
          <w:lang w:eastAsia="zh-CN"/>
        </w:rPr>
        <w:t>一、承包方式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_Toc2551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72C718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"_Toc2551" </w:instrText>
      </w:r>
      <w:r>
        <w:fldChar w:fldCharType="separate"/>
      </w:r>
      <w:r>
        <w:rPr>
          <w:rFonts w:hint="eastAsia" w:ascii="仿宋" w:hAnsi="仿宋" w:eastAsia="仿宋" w:cs="仿宋"/>
          <w:snapToGrid/>
          <w:color w:val="auto"/>
          <w:kern w:val="2"/>
          <w:sz w:val="24"/>
          <w:szCs w:val="20"/>
          <w:lang w:eastAsia="zh-CN"/>
        </w:rPr>
        <w:t>二、报价及结算要求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_Toc2551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F0B676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"_Toc13053" </w:instrText>
      </w:r>
      <w:r>
        <w:fldChar w:fldCharType="separate"/>
      </w:r>
      <w:r>
        <w:rPr>
          <w:rFonts w:hint="eastAsia" w:ascii="仿宋" w:hAnsi="仿宋" w:eastAsia="仿宋" w:cs="仿宋"/>
          <w:snapToGrid/>
          <w:color w:val="auto"/>
          <w:kern w:val="2"/>
          <w:sz w:val="24"/>
          <w:szCs w:val="20"/>
          <w:lang w:eastAsia="zh-CN"/>
        </w:rPr>
        <w:t>三、付款方式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_Toc13053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538A0EA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"_Toc15743" </w:instrText>
      </w:r>
      <w:r>
        <w:fldChar w:fldCharType="separate"/>
      </w:r>
      <w:r>
        <w:rPr>
          <w:rFonts w:hint="eastAsia" w:ascii="仿宋" w:hAnsi="仿宋" w:eastAsia="仿宋" w:cs="仿宋"/>
          <w:snapToGrid/>
          <w:color w:val="auto"/>
          <w:kern w:val="2"/>
          <w:sz w:val="24"/>
          <w:szCs w:val="20"/>
          <w:lang w:eastAsia="zh-CN"/>
        </w:rPr>
        <w:t>四、其他</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_Toc15743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030AC55">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"_Toc30863" </w:instrText>
      </w:r>
      <w:r>
        <w:fldChar w:fldCharType="separate"/>
      </w:r>
      <w:r>
        <w:rPr>
          <w:rFonts w:hint="eastAsia" w:ascii="仿宋" w:hAnsi="仿宋" w:eastAsia="仿宋" w:cs="仿宋"/>
          <w:b/>
          <w:snapToGrid/>
          <w:color w:val="auto"/>
          <w:kern w:val="2"/>
          <w:sz w:val="28"/>
          <w:szCs w:val="18"/>
          <w:lang w:eastAsia="zh-CN"/>
        </w:rPr>
        <w:t xml:space="preserve">第四篇  </w:t>
      </w:r>
      <w:bookmarkStart w:id="0" w:name="OLE_LINK1"/>
      <w:r>
        <w:rPr>
          <w:rFonts w:hint="eastAsia" w:ascii="仿宋" w:hAnsi="仿宋" w:eastAsia="仿宋" w:cs="仿宋"/>
          <w:b/>
          <w:snapToGrid/>
          <w:color w:val="auto"/>
          <w:kern w:val="2"/>
          <w:sz w:val="28"/>
          <w:szCs w:val="18"/>
          <w:lang w:eastAsia="zh-CN"/>
        </w:rPr>
        <w:t>采购程序、评定成交的标准、无效响应及采购终止</w:t>
      </w:r>
      <w:bookmarkEnd w:id="0"/>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_Toc30863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8</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064FF0D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"_Toc8553" </w:instrText>
      </w:r>
      <w:r>
        <w:fldChar w:fldCharType="separate"/>
      </w:r>
      <w:r>
        <w:rPr>
          <w:rFonts w:hint="eastAsia" w:ascii="仿宋" w:hAnsi="仿宋" w:eastAsia="仿宋" w:cs="仿宋"/>
          <w:snapToGrid/>
          <w:color w:val="auto"/>
          <w:kern w:val="2"/>
          <w:sz w:val="24"/>
          <w:szCs w:val="24"/>
          <w:lang w:eastAsia="zh-CN"/>
        </w:rPr>
        <w:t>一、采购程序</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_Toc8553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8</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3D7A8F9">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"_Toc190" </w:instrText>
      </w:r>
      <w:r>
        <w:fldChar w:fldCharType="separate"/>
      </w:r>
      <w:r>
        <w:rPr>
          <w:rFonts w:hint="eastAsia" w:ascii="仿宋" w:hAnsi="仿宋" w:eastAsia="仿宋" w:cs="仿宋"/>
          <w:snapToGrid/>
          <w:color w:val="auto"/>
          <w:kern w:val="2"/>
          <w:sz w:val="24"/>
          <w:szCs w:val="24"/>
          <w:lang w:eastAsia="zh-CN"/>
        </w:rPr>
        <w:t>二、评定成交的标准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_Toc190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9</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37A20C3">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"_Toc25218" </w:instrText>
      </w:r>
      <w:r>
        <w:fldChar w:fldCharType="separate"/>
      </w:r>
      <w:r>
        <w:rPr>
          <w:rFonts w:hint="eastAsia" w:ascii="仿宋" w:hAnsi="仿宋" w:eastAsia="仿宋" w:cs="仿宋"/>
          <w:snapToGrid/>
          <w:color w:val="auto"/>
          <w:kern w:val="2"/>
          <w:sz w:val="24"/>
          <w:szCs w:val="24"/>
          <w:lang w:eastAsia="zh-CN"/>
        </w:rPr>
        <w:t>三、无效响应</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_Toc25218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9</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F47BD8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"_Toc21920" </w:instrText>
      </w:r>
      <w:r>
        <w:fldChar w:fldCharType="separate"/>
      </w:r>
      <w:r>
        <w:rPr>
          <w:rFonts w:hint="eastAsia" w:ascii="仿宋" w:hAnsi="仿宋" w:eastAsia="仿宋" w:cs="仿宋"/>
          <w:snapToGrid/>
          <w:color w:val="auto"/>
          <w:kern w:val="2"/>
          <w:sz w:val="24"/>
          <w:szCs w:val="20"/>
          <w:lang w:eastAsia="zh-CN"/>
        </w:rPr>
        <w:t>四、采购终止</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_Toc21920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10</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1FBE47A4">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"_Toc28421" </w:instrText>
      </w:r>
      <w:r>
        <w:fldChar w:fldCharType="separate"/>
      </w:r>
      <w:r>
        <w:rPr>
          <w:rFonts w:hint="eastAsia" w:ascii="仿宋" w:hAnsi="仿宋" w:eastAsia="仿宋" w:cs="仿宋"/>
          <w:b/>
          <w:snapToGrid/>
          <w:color w:val="auto"/>
          <w:kern w:val="2"/>
          <w:sz w:val="28"/>
          <w:szCs w:val="20"/>
          <w:lang w:eastAsia="zh-CN"/>
        </w:rPr>
        <w:t>第五篇  供应商须知</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_Toc28421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- 1</w:t>
      </w:r>
      <w:r>
        <w:rPr>
          <w:rFonts w:hint="eastAsia" w:ascii="Times New Roman" w:hAnsi="Times New Roman" w:eastAsia="仿宋" w:cs="Times New Roman"/>
          <w:b/>
          <w:snapToGrid/>
          <w:color w:val="auto"/>
          <w:kern w:val="2"/>
          <w:sz w:val="28"/>
          <w:szCs w:val="20"/>
          <w:lang w:eastAsia="zh-CN"/>
        </w:rPr>
        <w:t>1</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61CF1666">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"_Toc5136" </w:instrText>
      </w:r>
      <w:r>
        <w:fldChar w:fldCharType="separate"/>
      </w:r>
      <w:r>
        <w:rPr>
          <w:rFonts w:hint="eastAsia" w:ascii="仿宋" w:hAnsi="仿宋" w:eastAsia="仿宋" w:cs="仿宋"/>
          <w:snapToGrid/>
          <w:color w:val="auto"/>
          <w:kern w:val="2"/>
          <w:sz w:val="24"/>
          <w:szCs w:val="20"/>
          <w:lang w:eastAsia="zh-CN"/>
        </w:rPr>
        <w:t>一、比选费用</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_Toc5136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09B2D41">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"_Toc22797" </w:instrText>
      </w:r>
      <w:r>
        <w:fldChar w:fldCharType="separate"/>
      </w:r>
      <w:r>
        <w:rPr>
          <w:rFonts w:hint="eastAsia" w:ascii="仿宋" w:hAnsi="仿宋" w:eastAsia="仿宋" w:cs="仿宋"/>
          <w:snapToGrid/>
          <w:color w:val="auto"/>
          <w:kern w:val="2"/>
          <w:sz w:val="24"/>
          <w:szCs w:val="20"/>
          <w:lang w:eastAsia="zh-CN"/>
        </w:rPr>
        <w:t>二、比选文件</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_Toc22797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C240D86">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"_Toc9568" </w:instrText>
      </w:r>
      <w:r>
        <w:fldChar w:fldCharType="separate"/>
      </w:r>
      <w:r>
        <w:rPr>
          <w:rFonts w:hint="eastAsia" w:ascii="仿宋" w:hAnsi="仿宋" w:eastAsia="仿宋" w:cs="仿宋"/>
          <w:snapToGrid/>
          <w:color w:val="auto"/>
          <w:kern w:val="2"/>
          <w:sz w:val="24"/>
          <w:szCs w:val="20"/>
          <w:lang w:eastAsia="zh-CN"/>
        </w:rPr>
        <w:t>三、报价要求</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_Toc9568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1</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4E27B1A2">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"_Toc13594" </w:instrText>
      </w:r>
      <w:r>
        <w:fldChar w:fldCharType="separate"/>
      </w:r>
      <w:r>
        <w:rPr>
          <w:rFonts w:hint="eastAsia" w:ascii="仿宋" w:hAnsi="仿宋" w:eastAsia="仿宋" w:cs="仿宋"/>
          <w:snapToGrid/>
          <w:color w:val="auto"/>
          <w:kern w:val="2"/>
          <w:sz w:val="24"/>
          <w:szCs w:val="20"/>
          <w:lang w:eastAsia="zh-CN"/>
        </w:rPr>
        <w:t>四、成交供应商的确认和变更</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_Toc13594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2</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63D67987">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"_Toc23262" </w:instrText>
      </w:r>
      <w:r>
        <w:fldChar w:fldCharType="separate"/>
      </w:r>
      <w:r>
        <w:rPr>
          <w:rFonts w:hint="eastAsia" w:ascii="仿宋" w:hAnsi="仿宋" w:eastAsia="仿宋" w:cs="仿宋"/>
          <w:snapToGrid/>
          <w:color w:val="auto"/>
          <w:kern w:val="2"/>
          <w:sz w:val="24"/>
          <w:szCs w:val="20"/>
          <w:lang w:eastAsia="zh-CN"/>
        </w:rPr>
        <w:t>五、成交通知</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_Toc23262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6011C8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"_Toc27049" </w:instrText>
      </w:r>
      <w:r>
        <w:fldChar w:fldCharType="separate"/>
      </w:r>
      <w:r>
        <w:rPr>
          <w:rFonts w:hint="eastAsia" w:ascii="仿宋" w:hAnsi="仿宋" w:eastAsia="仿宋" w:cs="仿宋"/>
          <w:snapToGrid/>
          <w:color w:val="auto"/>
          <w:kern w:val="2"/>
          <w:sz w:val="24"/>
          <w:szCs w:val="20"/>
          <w:lang w:eastAsia="zh-CN"/>
        </w:rPr>
        <w:t>六、合同签订</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_Toc27049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- 1</w:t>
      </w:r>
      <w:r>
        <w:rPr>
          <w:rFonts w:hint="eastAsia" w:ascii="Times New Roman" w:hAnsi="Times New Roman" w:eastAsia="仿宋" w:cs="Times New Roman"/>
          <w:snapToGrid/>
          <w:color w:val="auto"/>
          <w:kern w:val="2"/>
          <w:sz w:val="24"/>
          <w:szCs w:val="20"/>
          <w:lang w:eastAsia="zh-CN"/>
        </w:rPr>
        <w:t>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266AFF81">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"_Toc28258" </w:instrText>
      </w:r>
      <w:r>
        <w:fldChar w:fldCharType="separate"/>
      </w:r>
      <w:r>
        <w:rPr>
          <w:rFonts w:hint="eastAsia" w:ascii="仿宋" w:hAnsi="仿宋" w:eastAsia="仿宋" w:cs="仿宋"/>
          <w:b/>
          <w:snapToGrid/>
          <w:color w:val="auto"/>
          <w:kern w:val="2"/>
          <w:sz w:val="28"/>
          <w:szCs w:val="20"/>
          <w:lang w:eastAsia="zh-CN"/>
        </w:rPr>
        <w:t>第六篇  采购合同（格式样本）</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_Toc28258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14</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71D8C915">
      <w:pPr>
        <w:widowControl w:val="0"/>
        <w:tabs>
          <w:tab w:val="right" w:leader="dot" w:pos="9410"/>
        </w:tabs>
        <w:kinsoku/>
        <w:autoSpaceDE/>
        <w:autoSpaceDN/>
        <w:adjustRightInd/>
        <w:snapToGrid/>
        <w:ind w:firstLine="315" w:firstLineChars="150"/>
        <w:jc w:val="both"/>
        <w:textAlignment w:val="auto"/>
        <w:rPr>
          <w:rFonts w:ascii="Times New Roman" w:hAnsi="Times New Roman" w:eastAsia="仿宋" w:cs="Times New Roman"/>
          <w:b/>
          <w:snapToGrid/>
          <w:color w:val="auto"/>
          <w:kern w:val="2"/>
          <w:sz w:val="28"/>
          <w:szCs w:val="20"/>
          <w:lang w:eastAsia="zh-CN"/>
        </w:rPr>
      </w:pPr>
      <w:r>
        <w:fldChar w:fldCharType="begin"/>
      </w:r>
      <w:r>
        <w:instrText xml:space="preserve"> HYPERLINK \l "_Toc22389" </w:instrText>
      </w:r>
      <w:r>
        <w:fldChar w:fldCharType="separate"/>
      </w:r>
      <w:r>
        <w:rPr>
          <w:rFonts w:hint="eastAsia" w:ascii="仿宋" w:hAnsi="仿宋" w:eastAsia="仿宋" w:cs="仿宋"/>
          <w:b/>
          <w:snapToGrid/>
          <w:color w:val="auto"/>
          <w:kern w:val="2"/>
          <w:sz w:val="28"/>
          <w:szCs w:val="20"/>
          <w:lang w:eastAsia="zh-CN"/>
        </w:rPr>
        <w:t>第七篇  响应文件编制要求</w:t>
      </w:r>
      <w:r>
        <w:rPr>
          <w:rFonts w:ascii="Times New Roman" w:hAnsi="Times New Roman" w:eastAsia="仿宋" w:cs="Times New Roman"/>
          <w:b/>
          <w:snapToGrid/>
          <w:color w:val="auto"/>
          <w:kern w:val="2"/>
          <w:sz w:val="28"/>
          <w:szCs w:val="20"/>
          <w:lang w:eastAsia="zh-CN"/>
        </w:rPr>
        <w:tab/>
      </w:r>
      <w:r>
        <w:rPr>
          <w:rFonts w:ascii="Times New Roman" w:hAnsi="Times New Roman" w:eastAsia="仿宋" w:cs="Times New Roman"/>
          <w:b/>
          <w:snapToGrid/>
          <w:color w:val="auto"/>
          <w:kern w:val="2"/>
          <w:sz w:val="28"/>
          <w:szCs w:val="20"/>
          <w:lang w:eastAsia="zh-CN"/>
        </w:rPr>
        <w:fldChar w:fldCharType="begin"/>
      </w:r>
      <w:r>
        <w:rPr>
          <w:rFonts w:ascii="Times New Roman" w:hAnsi="Times New Roman" w:eastAsia="仿宋" w:cs="Times New Roman"/>
          <w:b/>
          <w:snapToGrid/>
          <w:color w:val="auto"/>
          <w:kern w:val="2"/>
          <w:sz w:val="28"/>
          <w:szCs w:val="20"/>
          <w:lang w:eastAsia="zh-CN"/>
        </w:rPr>
        <w:instrText xml:space="preserve"> PAGEREF _Toc22389 \h </w:instrText>
      </w:r>
      <w:r>
        <w:rPr>
          <w:rFonts w:ascii="Times New Roman" w:hAnsi="Times New Roman" w:eastAsia="仿宋" w:cs="Times New Roman"/>
          <w:b/>
          <w:snapToGrid/>
          <w:color w:val="auto"/>
          <w:kern w:val="2"/>
          <w:sz w:val="28"/>
          <w:szCs w:val="20"/>
          <w:lang w:eastAsia="zh-CN"/>
        </w:rPr>
        <w:fldChar w:fldCharType="separate"/>
      </w:r>
      <w:r>
        <w:rPr>
          <w:rFonts w:ascii="Times New Roman" w:hAnsi="Times New Roman" w:eastAsia="仿宋" w:cs="Times New Roman"/>
          <w:b/>
          <w:snapToGrid/>
          <w:color w:val="auto"/>
          <w:kern w:val="2"/>
          <w:sz w:val="28"/>
          <w:szCs w:val="20"/>
          <w:lang w:eastAsia="zh-CN"/>
        </w:rPr>
        <w:t xml:space="preserve">- </w:t>
      </w:r>
      <w:r>
        <w:rPr>
          <w:rFonts w:hint="eastAsia" w:ascii="Times New Roman" w:hAnsi="Times New Roman" w:eastAsia="仿宋" w:cs="Times New Roman"/>
          <w:b/>
          <w:snapToGrid/>
          <w:color w:val="auto"/>
          <w:kern w:val="2"/>
          <w:sz w:val="28"/>
          <w:szCs w:val="20"/>
          <w:lang w:eastAsia="zh-CN"/>
        </w:rPr>
        <w:t>33</w:t>
      </w:r>
      <w:r>
        <w:rPr>
          <w:rFonts w:ascii="Times New Roman" w:hAnsi="Times New Roman" w:eastAsia="仿宋" w:cs="Times New Roman"/>
          <w:b/>
          <w:snapToGrid/>
          <w:color w:val="auto"/>
          <w:kern w:val="2"/>
          <w:sz w:val="28"/>
          <w:szCs w:val="20"/>
          <w:lang w:eastAsia="zh-CN"/>
        </w:rPr>
        <w:t xml:space="preserve"> -</w:t>
      </w:r>
      <w:r>
        <w:rPr>
          <w:rFonts w:ascii="Times New Roman" w:hAnsi="Times New Roman" w:eastAsia="仿宋" w:cs="Times New Roman"/>
          <w:b/>
          <w:snapToGrid/>
          <w:color w:val="auto"/>
          <w:kern w:val="2"/>
          <w:sz w:val="28"/>
          <w:szCs w:val="20"/>
          <w:lang w:eastAsia="zh-CN"/>
        </w:rPr>
        <w:fldChar w:fldCharType="end"/>
      </w:r>
      <w:r>
        <w:rPr>
          <w:rFonts w:ascii="Times New Roman" w:hAnsi="Times New Roman" w:eastAsia="仿宋" w:cs="Times New Roman"/>
          <w:b/>
          <w:snapToGrid/>
          <w:color w:val="auto"/>
          <w:kern w:val="2"/>
          <w:sz w:val="28"/>
          <w:szCs w:val="20"/>
          <w:lang w:eastAsia="zh-CN"/>
        </w:rPr>
        <w:fldChar w:fldCharType="end"/>
      </w:r>
    </w:p>
    <w:p w14:paraId="24A726F0">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"_Toc30332" </w:instrText>
      </w:r>
      <w:r>
        <w:fldChar w:fldCharType="separate"/>
      </w:r>
      <w:r>
        <w:rPr>
          <w:rFonts w:hint="eastAsia" w:ascii="仿宋" w:hAnsi="仿宋" w:eastAsia="仿宋" w:cs="仿宋"/>
          <w:snapToGrid/>
          <w:color w:val="auto"/>
          <w:kern w:val="2"/>
          <w:sz w:val="24"/>
          <w:szCs w:val="20"/>
          <w:lang w:eastAsia="zh-CN"/>
        </w:rPr>
        <w:t>一、经济部分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_Toc30332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34</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B8D85DA">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"_Toc24147" </w:instrText>
      </w:r>
      <w:r>
        <w:fldChar w:fldCharType="separate"/>
      </w:r>
      <w:r>
        <w:rPr>
          <w:rFonts w:hint="eastAsia" w:ascii="仿宋" w:hAnsi="仿宋" w:eastAsia="仿宋" w:cs="仿宋"/>
          <w:snapToGrid/>
          <w:color w:val="auto"/>
          <w:kern w:val="2"/>
          <w:sz w:val="24"/>
          <w:szCs w:val="20"/>
          <w:lang w:eastAsia="zh-CN"/>
        </w:rPr>
        <w:t>二、技术需求部分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_Toc24147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6</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F54CCAB">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"_Toc7415" </w:instrText>
      </w:r>
      <w:r>
        <w:fldChar w:fldCharType="separate"/>
      </w:r>
      <w:r>
        <w:rPr>
          <w:rFonts w:hint="eastAsia" w:ascii="仿宋" w:hAnsi="仿宋" w:eastAsia="仿宋" w:cs="仿宋"/>
          <w:snapToGrid/>
          <w:color w:val="auto"/>
          <w:kern w:val="2"/>
          <w:sz w:val="24"/>
          <w:szCs w:val="20"/>
          <w:lang w:eastAsia="zh-CN"/>
        </w:rPr>
        <w:t>三、商务需求部分</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_Toc7415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7</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33C991C">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"_Toc14285" </w:instrText>
      </w:r>
      <w:r>
        <w:fldChar w:fldCharType="separate"/>
      </w:r>
      <w:r>
        <w:rPr>
          <w:rFonts w:hint="eastAsia" w:ascii="仿宋" w:hAnsi="仿宋" w:eastAsia="仿宋" w:cs="仿宋"/>
          <w:snapToGrid/>
          <w:color w:val="auto"/>
          <w:kern w:val="2"/>
          <w:sz w:val="24"/>
          <w:szCs w:val="20"/>
          <w:lang w:eastAsia="zh-CN"/>
        </w:rPr>
        <w:t>四、资格条件及其他</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_Toc14285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- 3</w:t>
      </w:r>
      <w:r>
        <w:rPr>
          <w:rFonts w:hint="eastAsia" w:ascii="Times New Roman" w:hAnsi="Times New Roman" w:eastAsia="仿宋" w:cs="Times New Roman"/>
          <w:snapToGrid/>
          <w:color w:val="auto"/>
          <w:kern w:val="2"/>
          <w:sz w:val="24"/>
          <w:szCs w:val="20"/>
          <w:lang w:eastAsia="zh-CN"/>
        </w:rPr>
        <w:t>8</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36CA8A9C">
      <w:pPr>
        <w:widowControl w:val="0"/>
        <w:tabs>
          <w:tab w:val="right" w:leader="dot" w:pos="9410"/>
        </w:tabs>
        <w:kinsoku/>
        <w:autoSpaceDE/>
        <w:autoSpaceDN/>
        <w:adjustRightInd/>
        <w:snapToGrid/>
        <w:ind w:left="210" w:leftChars="100" w:right="-191" w:rightChars="-91" w:firstLine="420" w:firstLineChars="200"/>
        <w:jc w:val="both"/>
        <w:textAlignment w:val="auto"/>
        <w:rPr>
          <w:rFonts w:ascii="Times New Roman" w:hAnsi="Times New Roman" w:eastAsia="仿宋" w:cs="Times New Roman"/>
          <w:snapToGrid/>
          <w:color w:val="auto"/>
          <w:kern w:val="2"/>
          <w:sz w:val="24"/>
          <w:szCs w:val="20"/>
          <w:lang w:eastAsia="zh-CN"/>
        </w:rPr>
      </w:pPr>
      <w:r>
        <w:fldChar w:fldCharType="begin"/>
      </w:r>
      <w:r>
        <w:instrText xml:space="preserve"> HYPERLINK \l "_Toc6446" </w:instrText>
      </w:r>
      <w:r>
        <w:fldChar w:fldCharType="separate"/>
      </w:r>
      <w:r>
        <w:rPr>
          <w:rFonts w:hint="eastAsia" w:ascii="仿宋" w:hAnsi="仿宋" w:eastAsia="仿宋" w:cs="仿宋"/>
          <w:snapToGrid/>
          <w:color w:val="auto"/>
          <w:kern w:val="2"/>
          <w:sz w:val="24"/>
          <w:lang w:eastAsia="zh-CN"/>
        </w:rPr>
        <w:t>五</w:t>
      </w:r>
      <w:r>
        <w:rPr>
          <w:rFonts w:hint="eastAsia" w:ascii="仿宋" w:hAnsi="仿宋" w:eastAsia="仿宋" w:cs="仿宋"/>
          <w:snapToGrid/>
          <w:color w:val="auto"/>
          <w:kern w:val="2"/>
          <w:sz w:val="24"/>
          <w:szCs w:val="20"/>
          <w:lang w:eastAsia="zh-CN"/>
        </w:rPr>
        <w:t>、其他资料</w:t>
      </w:r>
      <w:r>
        <w:rPr>
          <w:rFonts w:ascii="Times New Roman" w:hAnsi="Times New Roman" w:eastAsia="仿宋" w:cs="Times New Roman"/>
          <w:snapToGrid/>
          <w:color w:val="auto"/>
          <w:kern w:val="2"/>
          <w:sz w:val="24"/>
          <w:szCs w:val="20"/>
          <w:lang w:eastAsia="zh-CN"/>
        </w:rPr>
        <w:tab/>
      </w:r>
      <w:r>
        <w:rPr>
          <w:rFonts w:ascii="Times New Roman" w:hAnsi="Times New Roman" w:eastAsia="仿宋" w:cs="Times New Roman"/>
          <w:snapToGrid/>
          <w:color w:val="auto"/>
          <w:kern w:val="2"/>
          <w:sz w:val="24"/>
          <w:szCs w:val="20"/>
          <w:lang w:eastAsia="zh-CN"/>
        </w:rPr>
        <w:fldChar w:fldCharType="begin"/>
      </w:r>
      <w:r>
        <w:rPr>
          <w:rFonts w:ascii="Times New Roman" w:hAnsi="Times New Roman" w:eastAsia="仿宋" w:cs="Times New Roman"/>
          <w:snapToGrid/>
          <w:color w:val="auto"/>
          <w:kern w:val="2"/>
          <w:sz w:val="24"/>
          <w:szCs w:val="20"/>
          <w:lang w:eastAsia="zh-CN"/>
        </w:rPr>
        <w:instrText xml:space="preserve"> PAGEREF _Toc6446 \h </w:instrText>
      </w:r>
      <w:r>
        <w:rPr>
          <w:rFonts w:ascii="Times New Roman" w:hAnsi="Times New Roman" w:eastAsia="仿宋" w:cs="Times New Roman"/>
          <w:snapToGrid/>
          <w:color w:val="auto"/>
          <w:kern w:val="2"/>
          <w:sz w:val="24"/>
          <w:szCs w:val="20"/>
          <w:lang w:eastAsia="zh-CN"/>
        </w:rPr>
        <w:fldChar w:fldCharType="separate"/>
      </w:r>
      <w:r>
        <w:rPr>
          <w:rFonts w:ascii="Times New Roman" w:hAnsi="Times New Roman" w:eastAsia="仿宋" w:cs="Times New Roman"/>
          <w:snapToGrid/>
          <w:color w:val="auto"/>
          <w:kern w:val="2"/>
          <w:sz w:val="24"/>
          <w:szCs w:val="20"/>
          <w:lang w:eastAsia="zh-CN"/>
        </w:rPr>
        <w:t xml:space="preserve">- </w:t>
      </w:r>
      <w:r>
        <w:rPr>
          <w:rFonts w:hint="eastAsia" w:ascii="Times New Roman" w:hAnsi="Times New Roman" w:eastAsia="仿宋" w:cs="Times New Roman"/>
          <w:snapToGrid/>
          <w:color w:val="auto"/>
          <w:kern w:val="2"/>
          <w:sz w:val="24"/>
          <w:szCs w:val="20"/>
          <w:lang w:eastAsia="zh-CN"/>
        </w:rPr>
        <w:t>43</w:t>
      </w:r>
      <w:r>
        <w:rPr>
          <w:rFonts w:ascii="Times New Roman" w:hAnsi="Times New Roman" w:eastAsia="仿宋" w:cs="Times New Roman"/>
          <w:snapToGrid/>
          <w:color w:val="auto"/>
          <w:kern w:val="2"/>
          <w:sz w:val="24"/>
          <w:szCs w:val="20"/>
          <w:lang w:eastAsia="zh-CN"/>
        </w:rPr>
        <w:t xml:space="preserve"> -</w:t>
      </w:r>
      <w:r>
        <w:rPr>
          <w:rFonts w:ascii="Times New Roman" w:hAnsi="Times New Roman" w:eastAsia="仿宋" w:cs="Times New Roman"/>
          <w:snapToGrid/>
          <w:color w:val="auto"/>
          <w:kern w:val="2"/>
          <w:sz w:val="24"/>
          <w:szCs w:val="20"/>
          <w:lang w:eastAsia="zh-CN"/>
        </w:rPr>
        <w:fldChar w:fldCharType="end"/>
      </w:r>
      <w:r>
        <w:rPr>
          <w:rFonts w:ascii="Times New Roman" w:hAnsi="Times New Roman" w:eastAsia="仿宋" w:cs="Times New Roman"/>
          <w:snapToGrid/>
          <w:color w:val="auto"/>
          <w:kern w:val="2"/>
          <w:sz w:val="24"/>
          <w:szCs w:val="20"/>
          <w:lang w:eastAsia="zh-CN"/>
        </w:rPr>
        <w:fldChar w:fldCharType="end"/>
      </w:r>
    </w:p>
    <w:p w14:paraId="7BAF1FF2">
      <w:pPr>
        <w:spacing w:line="360" w:lineRule="auto"/>
        <w:jc w:val="center"/>
        <w:rPr>
          <w:rFonts w:ascii="Times New Roman" w:hAnsi="Times New Roman" w:eastAsia="仿宋" w:cs="Times New Roman"/>
          <w:color w:val="auto"/>
          <w:sz w:val="24"/>
          <w:szCs w:val="24"/>
          <w:lang w:eastAsia="zh-CN"/>
        </w:rPr>
      </w:pPr>
      <w:r>
        <w:rPr>
          <w:rFonts w:hint="eastAsia" w:ascii="仿宋" w:hAnsi="仿宋" w:eastAsia="仿宋" w:cs="仿宋"/>
          <w:snapToGrid/>
          <w:color w:val="auto"/>
          <w:kern w:val="2"/>
          <w:sz w:val="24"/>
          <w:lang w:eastAsia="zh-CN"/>
        </w:rPr>
        <w:fldChar w:fldCharType="end"/>
      </w:r>
    </w:p>
    <w:p w14:paraId="13385416">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1636F957">
      <w:pPr>
        <w:spacing w:line="360" w:lineRule="auto"/>
        <w:jc w:val="center"/>
        <w:rPr>
          <w:rFonts w:ascii="Times New Roman" w:hAnsi="Times New Roman" w:eastAsia="仿宋" w:cs="Times New Roman"/>
          <w:color w:val="auto"/>
          <w:sz w:val="24"/>
          <w:szCs w:val="24"/>
          <w:lang w:eastAsia="zh-CN"/>
        </w:rPr>
        <w:sectPr>
          <w:pgSz w:w="11907" w:h="16840"/>
          <w:pgMar w:top="0" w:right="1417" w:bottom="1031" w:left="1417" w:header="640" w:footer="567" w:gutter="0"/>
          <w:pgNumType w:start="1"/>
          <w:cols w:space="720" w:num="1"/>
        </w:sectPr>
      </w:pPr>
    </w:p>
    <w:p w14:paraId="6B6C69C5">
      <w:pPr>
        <w:spacing w:line="360" w:lineRule="auto"/>
        <w:jc w:val="center"/>
        <w:rPr>
          <w:rFonts w:ascii="Times New Roman" w:hAnsi="Times New Roman" w:eastAsia="黑体" w:cs="Times New Roman"/>
          <w:b/>
          <w:bCs/>
          <w:color w:val="auto"/>
          <w:sz w:val="32"/>
          <w:szCs w:val="32"/>
          <w:lang w:eastAsia="zh-CN"/>
        </w:rPr>
      </w:pPr>
      <w:bookmarkStart w:id="1" w:name="bookmark2"/>
      <w:bookmarkEnd w:id="1"/>
      <w:bookmarkStart w:id="2" w:name="bookmark1"/>
      <w:bookmarkEnd w:id="2"/>
      <w:r>
        <w:rPr>
          <w:rFonts w:ascii="Times New Roman" w:hAnsi="Times New Roman" w:eastAsia="黑体" w:cs="Times New Roman"/>
          <w:b/>
          <w:bCs/>
          <w:color w:val="auto"/>
          <w:sz w:val="32"/>
          <w:szCs w:val="32"/>
          <w:lang w:eastAsia="zh-CN"/>
        </w:rPr>
        <w:t xml:space="preserve">第一篇  </w:t>
      </w:r>
      <w:r>
        <w:rPr>
          <w:rFonts w:hint="eastAsia" w:ascii="Times New Roman" w:hAnsi="Times New Roman" w:eastAsia="黑体" w:cs="Times New Roman"/>
          <w:b/>
          <w:bCs/>
          <w:color w:val="auto"/>
          <w:sz w:val="32"/>
          <w:szCs w:val="32"/>
          <w:lang w:eastAsia="zh-CN"/>
        </w:rPr>
        <w:t>采购</w:t>
      </w:r>
      <w:r>
        <w:rPr>
          <w:rFonts w:ascii="Times New Roman" w:hAnsi="Times New Roman" w:eastAsia="黑体" w:cs="Times New Roman"/>
          <w:b/>
          <w:bCs/>
          <w:color w:val="auto"/>
          <w:sz w:val="32"/>
          <w:szCs w:val="32"/>
          <w:lang w:eastAsia="zh-CN"/>
        </w:rPr>
        <w:t>邀请书</w:t>
      </w:r>
    </w:p>
    <w:p w14:paraId="3922A79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重庆理工职业学院（以下简称“采购人 ”）现对</w:t>
      </w:r>
      <w:r>
        <w:rPr>
          <w:rFonts w:hint="eastAsia" w:ascii="Times New Roman" w:hAnsi="Times New Roman" w:eastAsia="仿宋" w:cs="Times New Roman"/>
          <w:color w:val="auto"/>
          <w:sz w:val="24"/>
          <w:szCs w:val="24"/>
          <w:lang w:eastAsia="zh-CN"/>
        </w:rPr>
        <w:t>半岛绿化设计施工一体化工程（</w:t>
      </w:r>
      <w:r>
        <w:rPr>
          <w:rFonts w:hint="eastAsia" w:ascii="Times New Roman" w:hAnsi="Times New Roman" w:eastAsia="仿宋" w:cs="Times New Roman"/>
          <w:color w:val="auto"/>
          <w:sz w:val="24"/>
          <w:szCs w:val="24"/>
          <w:lang w:val="en-US" w:eastAsia="zh-CN"/>
        </w:rPr>
        <w:t>第二次</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进行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采购，欢迎有资格的供应商参加比选。</w:t>
      </w:r>
    </w:p>
    <w:p w14:paraId="01855EC0">
      <w:pPr>
        <w:spacing w:line="360" w:lineRule="auto"/>
        <w:ind w:firstLine="480"/>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rPr>
        <w:t>一、</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rPr>
        <w:t>项目内容</w:t>
      </w:r>
    </w:p>
    <w:tbl>
      <w:tblPr>
        <w:tblStyle w:val="23"/>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0"/>
        <w:gridCol w:w="1971"/>
        <w:gridCol w:w="1971"/>
        <w:gridCol w:w="1972"/>
      </w:tblGrid>
      <w:tr w14:paraId="6B28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50" w:type="dxa"/>
            <w:vAlign w:val="center"/>
          </w:tcPr>
          <w:p w14:paraId="7490930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项目名称</w:t>
            </w:r>
          </w:p>
        </w:tc>
        <w:tc>
          <w:tcPr>
            <w:tcW w:w="1971" w:type="dxa"/>
            <w:vAlign w:val="center"/>
          </w:tcPr>
          <w:p w14:paraId="6964BAD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响应保证金</w:t>
            </w:r>
          </w:p>
          <w:p w14:paraId="586002D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（元）</w:t>
            </w:r>
          </w:p>
        </w:tc>
        <w:tc>
          <w:tcPr>
            <w:tcW w:w="1971" w:type="dxa"/>
            <w:vAlign w:val="center"/>
          </w:tcPr>
          <w:p w14:paraId="765A22A2">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最高限价</w:t>
            </w:r>
          </w:p>
          <w:p w14:paraId="7AEF9EF4">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（万元）</w:t>
            </w:r>
          </w:p>
        </w:tc>
        <w:tc>
          <w:tcPr>
            <w:tcW w:w="1972" w:type="dxa"/>
            <w:vAlign w:val="center"/>
          </w:tcPr>
          <w:p w14:paraId="55B1EB74">
            <w:pPr>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成交供应商数量</w:t>
            </w:r>
          </w:p>
          <w:p w14:paraId="25A2A1E0">
            <w:pPr>
              <w:jc w:val="cente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（名）</w:t>
            </w:r>
          </w:p>
        </w:tc>
      </w:tr>
      <w:tr w14:paraId="3DC8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3150" w:type="dxa"/>
            <w:vAlign w:val="center"/>
          </w:tcPr>
          <w:p w14:paraId="187E98E4">
            <w:pPr>
              <w:jc w:val="center"/>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半岛绿化设计施工一体化工程（</w:t>
            </w:r>
            <w:r>
              <w:rPr>
                <w:rFonts w:hint="eastAsia" w:ascii="Times New Roman" w:hAnsi="Times New Roman" w:eastAsia="仿宋" w:cs="Times New Roman"/>
                <w:color w:val="auto"/>
                <w:sz w:val="24"/>
                <w:szCs w:val="24"/>
                <w:lang w:val="en-US" w:eastAsia="zh-CN"/>
              </w:rPr>
              <w:t>第二次</w:t>
            </w:r>
            <w:r>
              <w:rPr>
                <w:rFonts w:hint="eastAsia" w:ascii="Times New Roman" w:hAnsi="Times New Roman" w:eastAsia="仿宋" w:cs="Times New Roman"/>
                <w:color w:val="auto"/>
                <w:sz w:val="24"/>
                <w:szCs w:val="24"/>
                <w:lang w:eastAsia="zh-CN"/>
              </w:rPr>
              <w:t>）</w:t>
            </w:r>
          </w:p>
        </w:tc>
        <w:tc>
          <w:tcPr>
            <w:tcW w:w="1971" w:type="dxa"/>
            <w:vAlign w:val="center"/>
          </w:tcPr>
          <w:p w14:paraId="4BBC2D3B">
            <w:pPr>
              <w:jc w:val="center"/>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lang w:eastAsia="zh-CN"/>
              </w:rPr>
              <w:t>000</w:t>
            </w:r>
          </w:p>
        </w:tc>
        <w:tc>
          <w:tcPr>
            <w:tcW w:w="1971" w:type="dxa"/>
            <w:vAlign w:val="center"/>
          </w:tcPr>
          <w:p w14:paraId="0D201870">
            <w:pPr>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30</w:t>
            </w:r>
          </w:p>
        </w:tc>
        <w:tc>
          <w:tcPr>
            <w:tcW w:w="1972" w:type="dxa"/>
            <w:vAlign w:val="center"/>
          </w:tcPr>
          <w:p w14:paraId="235638A9">
            <w:pPr>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w:t>
            </w:r>
          </w:p>
        </w:tc>
      </w:tr>
    </w:tbl>
    <w:p w14:paraId="4EDD554A">
      <w:pPr>
        <w:spacing w:line="360" w:lineRule="auto"/>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lang w:eastAsia="zh-CN"/>
        </w:rPr>
        <w:t xml:space="preserve">    </w:t>
      </w:r>
      <w:r>
        <w:rPr>
          <w:rFonts w:ascii="Times New Roman" w:hAnsi="Times New Roman" w:eastAsia="黑体" w:cs="Times New Roman"/>
          <w:b/>
          <w:bCs/>
          <w:color w:val="auto"/>
          <w:sz w:val="24"/>
          <w:szCs w:val="24"/>
        </w:rPr>
        <w:t>二、资金来源</w:t>
      </w:r>
    </w:p>
    <w:p w14:paraId="1C1DDC97">
      <w:pPr>
        <w:spacing w:line="360" w:lineRule="auto"/>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rPr>
        <w:t>采购人自筹资金。</w:t>
      </w:r>
    </w:p>
    <w:p w14:paraId="40A44520">
      <w:pPr>
        <w:spacing w:line="360" w:lineRule="auto"/>
        <w:jc w:val="both"/>
        <w:rPr>
          <w:rFonts w:ascii="Times New Roman" w:hAnsi="Times New Roman" w:eastAsia="黑体" w:cs="Times New Roman"/>
          <w:b/>
          <w:bCs/>
          <w:color w:val="auto"/>
          <w:sz w:val="24"/>
          <w:szCs w:val="24"/>
        </w:rPr>
      </w:pPr>
      <w:r>
        <w:rPr>
          <w:rFonts w:ascii="Times New Roman" w:hAnsi="Times New Roman" w:eastAsia="黑体" w:cs="Times New Roman"/>
          <w:b/>
          <w:bCs/>
          <w:color w:val="auto"/>
          <w:sz w:val="24"/>
          <w:szCs w:val="24"/>
          <w:lang w:eastAsia="zh-CN"/>
        </w:rPr>
        <w:t xml:space="preserve">    </w:t>
      </w:r>
      <w:r>
        <w:rPr>
          <w:rFonts w:ascii="Times New Roman" w:hAnsi="Times New Roman" w:eastAsia="黑体" w:cs="Times New Roman"/>
          <w:b/>
          <w:bCs/>
          <w:color w:val="auto"/>
          <w:sz w:val="24"/>
          <w:szCs w:val="24"/>
        </w:rPr>
        <w:t>三、资格要求</w:t>
      </w:r>
    </w:p>
    <w:p w14:paraId="78FCC64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供应商是指向采购人提供设计、工程施工的法人、其他组织或者自然人（以下简称“供应商”）。合格的供应商应符合下列条件：</w:t>
      </w:r>
    </w:p>
    <w:p w14:paraId="144F499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（一）一般资格条件</w:t>
      </w:r>
    </w:p>
    <w:p w14:paraId="40C7F25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1.具有独立承担民事责任能力；</w:t>
      </w:r>
    </w:p>
    <w:p w14:paraId="51A7BE9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2.具有良好的商业信誉；</w:t>
      </w:r>
    </w:p>
    <w:p w14:paraId="2B47139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3.具有履行合同所必需的设备和专业技术能力；</w:t>
      </w:r>
    </w:p>
    <w:p w14:paraId="60C7BAA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4.有依法纳税的良好记录；</w:t>
      </w:r>
    </w:p>
    <w:p w14:paraId="694FC1D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5.参加</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采购前3年内，在经营活动中没有重大违法记录；</w:t>
      </w:r>
    </w:p>
    <w:p w14:paraId="33CBA7D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6.法律、行政法规规定的其他条件。</w:t>
      </w:r>
    </w:p>
    <w:p w14:paraId="26F314C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（二）特定资格条件</w:t>
      </w:r>
    </w:p>
    <w:p w14:paraId="56704A04">
      <w:pPr>
        <w:spacing w:line="360" w:lineRule="auto"/>
        <w:ind w:firstLine="480"/>
        <w:jc w:val="both"/>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营业执照经营范围包含园林景观设计及施工相关内容。</w:t>
      </w:r>
    </w:p>
    <w:p w14:paraId="695D29F7">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有关说明</w:t>
      </w:r>
    </w:p>
    <w:p w14:paraId="361FEAB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ascii="Times New Roman" w:hAnsi="Times New Roman" w:eastAsia="仿宋" w:cs="Times New Roman"/>
          <w:color w:val="auto"/>
          <w:sz w:val="24"/>
          <w:szCs w:val="24"/>
        </w:rPr>
        <w:t>凡有意参加</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rPr>
        <w:t>的供应商，请于本公告发布之日起至提交响应文件截止时间前，在重庆理工职业学院官网校企合作一体化招标采购平台（http</w:t>
      </w:r>
      <w:r>
        <w:rPr>
          <w:rFonts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//www.cqip.com.cn/html/15/Index.shtml）</w:t>
      </w:r>
      <w:r>
        <w:rPr>
          <w:rFonts w:ascii="Times New Roman" w:hAnsi="Times New Roman" w:eastAsia="仿宋" w:cs="Times New Roman"/>
          <w:color w:val="auto"/>
          <w:sz w:val="24"/>
          <w:szCs w:val="24"/>
          <w:lang w:eastAsia="zh-CN"/>
        </w:rPr>
        <w:t>“下载中心”或“行采家</w:t>
      </w:r>
      <w:r>
        <w:rPr>
          <w:rFonts w:ascii="Times New Roman" w:hAnsi="Times New Roman" w:eastAsia="仿宋" w:cs="Times New Roman"/>
          <w:color w:val="auto"/>
          <w:sz w:val="24"/>
          <w:szCs w:val="24"/>
        </w:rPr>
        <w:t>（https://www.gec123.com/）</w:t>
      </w:r>
      <w:r>
        <w:rPr>
          <w:rFonts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下载本项目</w:t>
      </w:r>
      <w:r>
        <w:rPr>
          <w:rFonts w:ascii="Times New Roman" w:hAnsi="Times New Roman" w:eastAsia="仿宋" w:cs="Times New Roman"/>
          <w:color w:val="auto"/>
          <w:sz w:val="24"/>
          <w:szCs w:val="24"/>
          <w:lang w:eastAsia="zh-CN"/>
        </w:rPr>
        <w:t>的</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rPr>
        <w:t>以及</w:t>
      </w:r>
      <w:r>
        <w:rPr>
          <w:rFonts w:ascii="Times New Roman" w:hAnsi="Times New Roman" w:eastAsia="仿宋" w:cs="Times New Roman"/>
          <w:color w:val="auto"/>
          <w:sz w:val="24"/>
          <w:szCs w:val="24"/>
          <w:lang w:eastAsia="zh-CN"/>
        </w:rPr>
        <w:t>清单、</w:t>
      </w:r>
      <w:r>
        <w:rPr>
          <w:rFonts w:ascii="Times New Roman" w:hAnsi="Times New Roman" w:eastAsia="仿宋" w:cs="Times New Roman"/>
          <w:color w:val="auto"/>
          <w:sz w:val="24"/>
          <w:szCs w:val="24"/>
        </w:rPr>
        <w:t>图纸、补遗</w:t>
      </w:r>
      <w:r>
        <w:rPr>
          <w:rFonts w:ascii="Times New Roman" w:hAnsi="Times New Roman" w:eastAsia="仿宋" w:cs="Times New Roman"/>
          <w:color w:val="auto"/>
          <w:sz w:val="24"/>
          <w:szCs w:val="24"/>
          <w:lang w:eastAsia="zh-CN"/>
        </w:rPr>
        <w:t>、澄清</w:t>
      </w:r>
      <w:r>
        <w:rPr>
          <w:rFonts w:ascii="Times New Roman" w:hAnsi="Times New Roman" w:eastAsia="仿宋" w:cs="Times New Roman"/>
          <w:color w:val="auto"/>
          <w:sz w:val="24"/>
          <w:szCs w:val="24"/>
        </w:rPr>
        <w:t>通知等全部内容</w:t>
      </w:r>
      <w:r>
        <w:rPr>
          <w:rFonts w:ascii="Times New Roman" w:hAnsi="Times New Roman" w:eastAsia="仿宋" w:cs="Times New Roman"/>
          <w:color w:val="auto"/>
          <w:sz w:val="24"/>
          <w:szCs w:val="24"/>
          <w:lang w:eastAsia="zh-CN"/>
        </w:rPr>
        <w:t>及</w:t>
      </w:r>
      <w:r>
        <w:rPr>
          <w:rFonts w:ascii="Times New Roman" w:hAnsi="Times New Roman" w:eastAsia="仿宋" w:cs="Times New Roman"/>
          <w:color w:val="auto"/>
          <w:sz w:val="24"/>
          <w:szCs w:val="24"/>
        </w:rPr>
        <w:t>资料。</w:t>
      </w:r>
      <w:r>
        <w:rPr>
          <w:rFonts w:ascii="Times New Roman" w:hAnsi="Times New Roman" w:eastAsia="仿宋" w:cs="Times New Roman"/>
          <w:color w:val="auto"/>
          <w:sz w:val="24"/>
          <w:szCs w:val="24"/>
          <w:lang w:eastAsia="zh-CN"/>
        </w:rPr>
        <w:t>无论供应商下载与否，均视为已晓本次</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过程和全部内容。</w:t>
      </w:r>
    </w:p>
    <w:p w14:paraId="017CE76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文件购买费：</w:t>
      </w:r>
      <w:r>
        <w:rPr>
          <w:rFonts w:hint="eastAsia" w:ascii="Times New Roman" w:hAnsi="Times New Roman" w:eastAsia="仿宋" w:cs="Times New Roman"/>
          <w:color w:val="auto"/>
          <w:sz w:val="24"/>
          <w:szCs w:val="24"/>
          <w:lang w:val="en-US" w:eastAsia="zh-CN"/>
        </w:rPr>
        <w:t>2</w:t>
      </w:r>
      <w:r>
        <w:rPr>
          <w:rFonts w:ascii="Times New Roman" w:hAnsi="Times New Roman" w:eastAsia="仿宋" w:cs="Times New Roman"/>
          <w:color w:val="auto"/>
          <w:sz w:val="24"/>
          <w:szCs w:val="24"/>
          <w:lang w:eastAsia="zh-CN"/>
        </w:rPr>
        <w:t>00元/份（递交响应文件时现场缴纳，售后不退）。</w:t>
      </w:r>
    </w:p>
    <w:p w14:paraId="2FC5D0E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（三）供应商须满足以下要件，其响应文件才会被接受：</w:t>
      </w:r>
    </w:p>
    <w:p w14:paraId="52EC052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1.按时递交响应文件；</w:t>
      </w:r>
    </w:p>
    <w:p w14:paraId="438DDF2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2.在响应文件递交截止日前已缴纳了响应保证金。</w:t>
      </w:r>
    </w:p>
    <w:p w14:paraId="34B7A03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（四）响应文件递交地址：重庆市巴南区界石镇东城大道588号重庆理工职业学院行政楼5楼527室，收件人：张老师，电话：166 2360 4445。</w:t>
      </w:r>
    </w:p>
    <w:p w14:paraId="0389E97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（五）响应文件递交开始时间：202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 xml:space="preserve"> 年</w:t>
      </w:r>
      <w:r>
        <w:rPr>
          <w:rFonts w:hint="eastAsia" w:ascii="Times New Roman" w:hAnsi="Times New Roman" w:eastAsia="仿宋" w:cs="Times New Roman"/>
          <w:color w:val="auto"/>
          <w:sz w:val="24"/>
          <w:szCs w:val="24"/>
          <w:lang w:eastAsia="zh-CN"/>
        </w:rPr>
        <w:t>1</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val="en-US" w:eastAsia="zh-CN"/>
        </w:rPr>
        <w:t>13</w:t>
      </w:r>
      <w:r>
        <w:rPr>
          <w:rFonts w:ascii="Times New Roman" w:hAnsi="Times New Roman" w:eastAsia="仿宋" w:cs="Times New Roman"/>
          <w:color w:val="auto"/>
          <w:sz w:val="24"/>
          <w:szCs w:val="24"/>
          <w:lang w:eastAsia="zh-CN"/>
        </w:rPr>
        <w:t>日北京时间14:00。</w:t>
      </w:r>
    </w:p>
    <w:p w14:paraId="5CCD8C3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（六）响应文件递交截止时间：202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 xml:space="preserve"> 年</w:t>
      </w:r>
      <w:r>
        <w:rPr>
          <w:rFonts w:hint="eastAsia" w:ascii="Times New Roman" w:hAnsi="Times New Roman" w:eastAsia="仿宋" w:cs="Times New Roman"/>
          <w:color w:val="auto"/>
          <w:sz w:val="24"/>
          <w:szCs w:val="24"/>
          <w:lang w:eastAsia="zh-CN"/>
        </w:rPr>
        <w:t>1</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val="en-US" w:eastAsia="zh-CN"/>
        </w:rPr>
        <w:t>13</w:t>
      </w:r>
      <w:r>
        <w:rPr>
          <w:rFonts w:ascii="Times New Roman" w:hAnsi="Times New Roman" w:eastAsia="仿宋" w:cs="Times New Roman"/>
          <w:color w:val="auto"/>
          <w:sz w:val="24"/>
          <w:szCs w:val="24"/>
          <w:lang w:eastAsia="zh-CN"/>
        </w:rPr>
        <w:t>日北京时间14:30。</w:t>
      </w:r>
    </w:p>
    <w:p w14:paraId="5489C11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（七）</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比选开始时间：202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年</w:t>
      </w:r>
      <w:r>
        <w:rPr>
          <w:rFonts w:hint="eastAsia" w:ascii="Times New Roman" w:hAnsi="Times New Roman" w:eastAsia="仿宋" w:cs="Times New Roman"/>
          <w:color w:val="auto"/>
          <w:sz w:val="24"/>
          <w:szCs w:val="24"/>
          <w:lang w:eastAsia="zh-CN"/>
        </w:rPr>
        <w:t>1</w:t>
      </w:r>
      <w:r>
        <w:rPr>
          <w:rFonts w:ascii="Times New Roman" w:hAnsi="Times New Roman" w:eastAsia="仿宋" w:cs="Times New Roman"/>
          <w:color w:val="auto"/>
          <w:sz w:val="24"/>
          <w:szCs w:val="24"/>
          <w:lang w:eastAsia="zh-CN"/>
        </w:rPr>
        <w:t>月</w:t>
      </w:r>
      <w:r>
        <w:rPr>
          <w:rFonts w:hint="eastAsia" w:ascii="Times New Roman" w:hAnsi="Times New Roman" w:eastAsia="仿宋" w:cs="Times New Roman"/>
          <w:color w:val="auto"/>
          <w:sz w:val="24"/>
          <w:szCs w:val="24"/>
          <w:lang w:val="en-US" w:eastAsia="zh-CN"/>
        </w:rPr>
        <w:t>13</w:t>
      </w:r>
      <w:r>
        <w:rPr>
          <w:rFonts w:ascii="Times New Roman" w:hAnsi="Times New Roman" w:eastAsia="仿宋" w:cs="Times New Roman"/>
          <w:color w:val="auto"/>
          <w:sz w:val="24"/>
          <w:szCs w:val="24"/>
          <w:lang w:eastAsia="zh-CN"/>
        </w:rPr>
        <w:t>日北京时间14:30。</w:t>
      </w:r>
    </w:p>
    <w:p w14:paraId="43C2AE9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（八）</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比价地址：同响应文件递交地址。</w:t>
      </w:r>
    </w:p>
    <w:p w14:paraId="1EB1632D">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五、响应保证金</w:t>
      </w:r>
    </w:p>
    <w:p w14:paraId="16367A4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（一）响应保证金方式：以转账支票或电汇形式交纳</w:t>
      </w:r>
    </w:p>
    <w:p w14:paraId="42FDFA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 保证金交款形式及要求：供应商从企业的基本账户（开户行）在</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截止时间前通过转账支票直接划付或以电汇方式直接划付至下面指定的保证金账户。若</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截止时间延期，则保证金提交的截止时间和</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截止时间应当保持一致。不满足上述要求的保证金无效。</w:t>
      </w:r>
    </w:p>
    <w:p w14:paraId="2474021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供应商自行考虑汇入时间风险，如同城汇入、异地汇入、跨行汇入的时间要求。</w:t>
      </w:r>
    </w:p>
    <w:p w14:paraId="11801EF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 以转账支票或电汇形式提交</w:t>
      </w:r>
      <w:r>
        <w:rPr>
          <w:rFonts w:hint="eastAsia" w:ascii="Times New Roman" w:hAnsi="Times New Roman" w:eastAsia="仿宋" w:cs="Times New Roman"/>
          <w:color w:val="auto"/>
          <w:sz w:val="24"/>
          <w:szCs w:val="24"/>
          <w:lang w:val="en-US" w:eastAsia="zh-CN"/>
        </w:rPr>
        <w:t>响应</w:t>
      </w:r>
      <w:r>
        <w:rPr>
          <w:rFonts w:ascii="Times New Roman" w:hAnsi="Times New Roman" w:eastAsia="仿宋" w:cs="Times New Roman"/>
          <w:color w:val="auto"/>
          <w:sz w:val="24"/>
          <w:szCs w:val="24"/>
          <w:lang w:eastAsia="zh-CN"/>
        </w:rPr>
        <w:t>保证金的金额：</w:t>
      </w:r>
      <w:r>
        <w:rPr>
          <w:rFonts w:hint="eastAsia"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lang w:eastAsia="zh-CN"/>
        </w:rPr>
        <w:t>000 元（大写：</w:t>
      </w:r>
      <w:r>
        <w:rPr>
          <w:rFonts w:hint="eastAsia" w:ascii="Times New Roman" w:hAnsi="Times New Roman" w:eastAsia="仿宋" w:cs="Times New Roman"/>
          <w:color w:val="auto"/>
          <w:sz w:val="24"/>
          <w:szCs w:val="24"/>
          <w:lang w:eastAsia="zh-CN"/>
        </w:rPr>
        <w:t>贰</w:t>
      </w:r>
      <w:r>
        <w:rPr>
          <w:rFonts w:ascii="Times New Roman" w:hAnsi="Times New Roman" w:eastAsia="仿宋" w:cs="Times New Roman"/>
          <w:color w:val="auto"/>
          <w:sz w:val="24"/>
          <w:szCs w:val="24"/>
          <w:lang w:eastAsia="zh-CN"/>
        </w:rPr>
        <w:t>仟元整）</w:t>
      </w:r>
    </w:p>
    <w:p w14:paraId="7B30CCE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 保证金账户及账号：</w:t>
      </w:r>
    </w:p>
    <w:p w14:paraId="1A32D98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户  名：重庆理工职业学院</w:t>
      </w:r>
    </w:p>
    <w:p w14:paraId="2BD098E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开户行：中国银行重庆巴南支行</w:t>
      </w:r>
    </w:p>
    <w:p w14:paraId="7C8726A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账  号：113070691433</w:t>
      </w:r>
    </w:p>
    <w:p w14:paraId="67E349E8">
      <w:pPr>
        <w:numPr>
          <w:ilvl w:val="0"/>
          <w:numId w:val="1"/>
        </w:num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供应商必须在付款凭证备注栏中注明是“重庆理工职业学院</w:t>
      </w:r>
      <w:r>
        <w:rPr>
          <w:rFonts w:hint="eastAsia" w:ascii="Times New Roman" w:hAnsi="Times New Roman" w:eastAsia="仿宋" w:cs="Times New Roman"/>
          <w:color w:val="auto"/>
          <w:sz w:val="24"/>
          <w:szCs w:val="24"/>
          <w:lang w:eastAsia="zh-CN"/>
        </w:rPr>
        <w:t>半岛绿化设计施工一体化工程（</w:t>
      </w:r>
      <w:r>
        <w:rPr>
          <w:rFonts w:hint="eastAsia" w:ascii="Times New Roman" w:hAnsi="Times New Roman" w:eastAsia="仿宋" w:cs="Times New Roman"/>
          <w:color w:val="auto"/>
          <w:sz w:val="24"/>
          <w:szCs w:val="24"/>
          <w:lang w:val="en-US" w:eastAsia="zh-CN"/>
        </w:rPr>
        <w:t>第二次</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项目保证金”。</w:t>
      </w:r>
    </w:p>
    <w:p w14:paraId="159736C1">
      <w:pPr>
        <w:spacing w:line="360" w:lineRule="auto"/>
        <w:ind w:firstLine="240" w:firstLineChars="1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（二）响应保证金退还方式：</w:t>
      </w:r>
    </w:p>
    <w:p w14:paraId="651C4C0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1.未成交供应商的响应保证金，在成交通知书发放后5个工作日内按来款渠道直接退还。</w:t>
      </w:r>
    </w:p>
    <w:p w14:paraId="099E629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2.成交供应商的响应保证金，在成交供应商与采购人签订合同后5个工作日内按资金来款渠道直接退还。</w:t>
      </w:r>
    </w:p>
    <w:p w14:paraId="1C383855">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六、</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有关规定</w:t>
      </w:r>
    </w:p>
    <w:p w14:paraId="33D5DEA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（一）超过响应文件截止时间递交的响应文件，恕不接收。</w:t>
      </w:r>
    </w:p>
    <w:p w14:paraId="2ECCB6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（二）单位负责人为同一人或者存在直接控股、管理关系的不同供应商，不得参加同一合同项（分包）下的采购活动，否则均为无效报价。</w:t>
      </w:r>
    </w:p>
    <w:p w14:paraId="7E764EB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费用：无论</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结果如何，供应商参与本项目</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的所有费用均由供应商自行承担。</w:t>
      </w:r>
    </w:p>
    <w:p w14:paraId="1BB799C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（四）本项目不接受联合体参与</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，否则按无效处理。</w:t>
      </w:r>
    </w:p>
    <w:p w14:paraId="6D94321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（五）本项目不接受合同分包，否则按无效处理。</w:t>
      </w:r>
    </w:p>
    <w:p w14:paraId="6952E71C">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七、联系方式</w:t>
      </w:r>
    </w:p>
    <w:p w14:paraId="2C790B1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采购人：重庆理工职业学院</w:t>
      </w:r>
    </w:p>
    <w:p w14:paraId="3AAB5D1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联系人：张老师</w:t>
      </w:r>
    </w:p>
    <w:p w14:paraId="5B1F8FE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电  话：166 2360 4445</w:t>
      </w:r>
    </w:p>
    <w:p w14:paraId="64E15D00">
      <w:pPr>
        <w:spacing w:line="360" w:lineRule="auto"/>
        <w:ind w:firstLine="480"/>
        <w:jc w:val="both"/>
        <w:rPr>
          <w:rFonts w:ascii="Times New Roman" w:hAnsi="Times New Roman" w:eastAsia="仿宋" w:cs="Times New Roman"/>
          <w:color w:val="auto"/>
          <w:sz w:val="24"/>
          <w:szCs w:val="24"/>
          <w:lang w:eastAsia="zh-CN"/>
        </w:rPr>
        <w:sectPr>
          <w:pgSz w:w="11907" w:h="16840"/>
          <w:pgMar w:top="1237" w:right="1417" w:bottom="1417" w:left="1417" w:header="567" w:footer="853" w:gutter="0"/>
          <w:cols w:space="720" w:num="1"/>
        </w:sectPr>
      </w:pPr>
      <w:r>
        <w:rPr>
          <w:rFonts w:ascii="Times New Roman" w:hAnsi="Times New Roman" w:eastAsia="仿宋" w:cs="Times New Roman"/>
          <w:color w:val="auto"/>
          <w:sz w:val="24"/>
          <w:szCs w:val="24"/>
          <w:lang w:eastAsia="zh-CN"/>
        </w:rPr>
        <w:t>地  址：重庆市巴南区界石镇东城大道588号</w:t>
      </w:r>
    </w:p>
    <w:p w14:paraId="34B9A40A">
      <w:pPr>
        <w:spacing w:line="360" w:lineRule="auto"/>
        <w:jc w:val="center"/>
        <w:rPr>
          <w:rFonts w:ascii="Times New Roman" w:hAnsi="Times New Roman" w:eastAsia="黑体" w:cs="Times New Roman"/>
          <w:b/>
          <w:bCs/>
          <w:color w:val="auto"/>
          <w:sz w:val="32"/>
          <w:szCs w:val="32"/>
          <w:lang w:eastAsia="zh-CN"/>
        </w:rPr>
      </w:pPr>
      <w:bookmarkStart w:id="3" w:name="bookmark3"/>
      <w:bookmarkEnd w:id="3"/>
      <w:bookmarkStart w:id="4" w:name="bookmark4"/>
      <w:bookmarkEnd w:id="4"/>
      <w:bookmarkStart w:id="5" w:name="_Toc106034778"/>
      <w:bookmarkStart w:id="6" w:name="_Toc65660338"/>
      <w:bookmarkStart w:id="7" w:name="_Toc14516"/>
      <w:bookmarkStart w:id="8" w:name="_Toc11327"/>
      <w:bookmarkStart w:id="9" w:name="_Toc1292"/>
      <w:bookmarkStart w:id="10" w:name="_Toc102227313"/>
      <w:r>
        <w:rPr>
          <w:rFonts w:ascii="Times New Roman" w:hAnsi="Times New Roman" w:eastAsia="黑体" w:cs="Times New Roman"/>
          <w:b/>
          <w:bCs/>
          <w:color w:val="auto"/>
          <w:sz w:val="32"/>
          <w:szCs w:val="32"/>
          <w:lang w:eastAsia="zh-CN"/>
        </w:rPr>
        <w:t>第二篇  项目技术需求</w:t>
      </w:r>
      <w:bookmarkEnd w:id="5"/>
      <w:bookmarkEnd w:id="6"/>
      <w:bookmarkEnd w:id="7"/>
      <w:bookmarkEnd w:id="8"/>
      <w:bookmarkEnd w:id="9"/>
    </w:p>
    <w:p w14:paraId="50D6E1B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b/>
          <w:bCs/>
          <w:color w:val="auto"/>
          <w:sz w:val="24"/>
          <w:szCs w:val="24"/>
          <w:lang w:eastAsia="zh-CN"/>
        </w:rPr>
        <w:t>一、工程名称：</w:t>
      </w:r>
      <w:r>
        <w:rPr>
          <w:rFonts w:hint="eastAsia" w:ascii="Times New Roman" w:hAnsi="Times New Roman" w:eastAsia="仿宋" w:cs="Times New Roman"/>
          <w:color w:val="auto"/>
          <w:sz w:val="24"/>
          <w:szCs w:val="24"/>
          <w:lang w:eastAsia="zh-CN"/>
        </w:rPr>
        <w:t>半岛绿化设计施工一体化工程（</w:t>
      </w:r>
      <w:r>
        <w:rPr>
          <w:rFonts w:hint="eastAsia" w:ascii="Times New Roman" w:hAnsi="Times New Roman" w:eastAsia="仿宋" w:cs="Times New Roman"/>
          <w:color w:val="auto"/>
          <w:sz w:val="24"/>
          <w:szCs w:val="24"/>
          <w:lang w:val="en-US" w:eastAsia="zh-CN"/>
        </w:rPr>
        <w:t>第二次</w:t>
      </w:r>
      <w:r>
        <w:rPr>
          <w:rFonts w:hint="eastAsia" w:ascii="Times New Roman" w:hAnsi="Times New Roman" w:eastAsia="仿宋" w:cs="Times New Roman"/>
          <w:color w:val="auto"/>
          <w:sz w:val="24"/>
          <w:szCs w:val="24"/>
          <w:lang w:eastAsia="zh-CN"/>
        </w:rPr>
        <w:t>）</w:t>
      </w:r>
    </w:p>
    <w:p w14:paraId="5E9DC0EE">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b/>
          <w:bCs/>
          <w:color w:val="auto"/>
          <w:sz w:val="24"/>
          <w:szCs w:val="24"/>
          <w:lang w:eastAsia="zh-CN"/>
        </w:rPr>
        <w:t>二、工程地点：</w:t>
      </w:r>
      <w:r>
        <w:rPr>
          <w:rFonts w:ascii="Times New Roman" w:hAnsi="Times New Roman" w:eastAsia="仿宋" w:cs="Times New Roman"/>
          <w:color w:val="auto"/>
          <w:sz w:val="24"/>
          <w:szCs w:val="24"/>
          <w:lang w:eastAsia="zh-CN"/>
        </w:rPr>
        <w:t>重庆市巴南区东城大道588号</w:t>
      </w:r>
    </w:p>
    <w:p w14:paraId="64FF650B">
      <w:pPr>
        <w:spacing w:line="360" w:lineRule="auto"/>
        <w:ind w:firstLine="481"/>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三、工程设计及施工承包范围：</w:t>
      </w:r>
    </w:p>
    <w:p w14:paraId="34D4372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3.1 设计及施工内容包括重庆理工职业学院半岛面积约</w:t>
      </w:r>
      <w:r>
        <w:rPr>
          <w:rFonts w:hint="eastAsia" w:ascii="Times New Roman" w:hAnsi="Times New Roman" w:eastAsia="仿宋" w:cs="Times New Roman"/>
          <w:color w:val="auto"/>
          <w:sz w:val="24"/>
          <w:szCs w:val="24"/>
          <w:lang w:val="en-US" w:eastAsia="zh-CN"/>
        </w:rPr>
        <w:t>955</w:t>
      </w:r>
      <w:r>
        <w:rPr>
          <w:rFonts w:ascii="Times New Roman" w:hAnsi="Times New Roman" w:eastAsia="仿宋" w:cs="Times New Roman"/>
          <w:color w:val="auto"/>
          <w:sz w:val="24"/>
          <w:szCs w:val="24"/>
          <w:lang w:eastAsia="zh-CN"/>
        </w:rPr>
        <w:t>0平方米</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包括党建文化墙区域</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，需将半岛场地重新设计</w:t>
      </w:r>
      <w:r>
        <w:rPr>
          <w:rFonts w:hint="eastAsia" w:ascii="Times New Roman" w:hAnsi="Times New Roman" w:eastAsia="仿宋" w:cs="Times New Roman"/>
          <w:color w:val="auto"/>
          <w:sz w:val="24"/>
          <w:szCs w:val="24"/>
          <w:lang w:eastAsia="zh-CN"/>
        </w:rPr>
        <w:t>及</w:t>
      </w:r>
      <w:r>
        <w:rPr>
          <w:rFonts w:ascii="Times New Roman" w:hAnsi="Times New Roman" w:eastAsia="仿宋" w:cs="Times New Roman"/>
          <w:color w:val="auto"/>
          <w:sz w:val="24"/>
          <w:szCs w:val="24"/>
          <w:lang w:eastAsia="zh-CN"/>
        </w:rPr>
        <w:t>施工。设计内容包含但不限于半岛园林景观种植</w:t>
      </w:r>
      <w:r>
        <w:rPr>
          <w:rFonts w:hint="eastAsia" w:ascii="Times New Roman" w:hAnsi="Times New Roman" w:eastAsia="仿宋" w:cs="Times New Roman"/>
          <w:color w:val="auto"/>
          <w:sz w:val="24"/>
          <w:szCs w:val="24"/>
          <w:lang w:val="en-US" w:eastAsia="zh-CN"/>
        </w:rPr>
        <w:t>草坪</w:t>
      </w:r>
      <w:r>
        <w:rPr>
          <w:rFonts w:ascii="Times New Roman" w:hAnsi="Times New Roman" w:eastAsia="仿宋" w:cs="Times New Roman"/>
          <w:color w:val="auto"/>
          <w:sz w:val="24"/>
          <w:szCs w:val="24"/>
          <w:lang w:eastAsia="zh-CN"/>
        </w:rPr>
        <w:t>，种植香樟树、小叶榕、黄桷树</w:t>
      </w:r>
      <w:r>
        <w:rPr>
          <w:rFonts w:hint="eastAsia" w:ascii="Times New Roman" w:hAnsi="Times New Roman" w:eastAsia="仿宋" w:cs="Times New Roman"/>
          <w:color w:val="auto"/>
          <w:sz w:val="24"/>
          <w:szCs w:val="24"/>
          <w:lang w:eastAsia="zh-CN"/>
        </w:rPr>
        <w:t>（树径均不小于1</w:t>
      </w: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lang w:eastAsia="zh-CN"/>
        </w:rPr>
        <w:t>cm）</w:t>
      </w:r>
      <w:r>
        <w:rPr>
          <w:rFonts w:ascii="Times New Roman" w:hAnsi="Times New Roman" w:eastAsia="仿宋" w:cs="Times New Roman"/>
          <w:color w:val="auto"/>
          <w:sz w:val="24"/>
          <w:szCs w:val="24"/>
          <w:lang w:eastAsia="zh-CN"/>
        </w:rPr>
        <w:t>。设计内容必须满足采购人使用需求并满足行业相关验收标准。</w:t>
      </w:r>
    </w:p>
    <w:p w14:paraId="4C53C88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 本工程由供应商提供设计方案和工程量清单，提交至采购人且获得采购人的确认后方可施工。并且施工使用的材料质量必须满足设计方案和采购人的具体要求。本工程所有的材料进场前供应商须向采购人送样确认，到场后按规定报验，采购人签字同意后方能进场使用。</w:t>
      </w:r>
    </w:p>
    <w:p w14:paraId="4541A1B7">
      <w:pPr>
        <w:spacing w:line="360" w:lineRule="auto"/>
        <w:ind w:firstLine="481"/>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四、工期</w:t>
      </w:r>
      <w:r>
        <w:rPr>
          <w:rFonts w:hint="eastAsia" w:ascii="Times New Roman" w:hAnsi="Times New Roman" w:eastAsia="仿宋" w:cs="Times New Roman"/>
          <w:b/>
          <w:bCs/>
          <w:color w:val="auto"/>
          <w:sz w:val="24"/>
          <w:szCs w:val="24"/>
          <w:lang w:eastAsia="zh-CN"/>
        </w:rPr>
        <w:t>要求</w:t>
      </w:r>
    </w:p>
    <w:p w14:paraId="01E5B0D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本工程自签订合同之日起10个自然日内向采购人提供设计方案，若需修改设计方案，供应商需在3个自然日内重新提交设计方案至采购人审核。设计方案审核通过后，供应商在3个工作日内办理开工手续，施工工期为40日历天（从开工令签署日起开始计算）。供应商的施工进度不得影响其他单位工序的进度，由此造成的工期延误和工序滞后的损失由供应商负责。</w:t>
      </w:r>
    </w:p>
    <w:p w14:paraId="63BCF267">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质量要求</w:t>
      </w:r>
    </w:p>
    <w:p w14:paraId="62AC4743">
      <w:pPr>
        <w:spacing w:line="360" w:lineRule="auto"/>
        <w:ind w:firstLine="480" w:firstLineChars="20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val="en-US" w:eastAsia="zh-CN"/>
        </w:rPr>
        <w:t xml:space="preserve">5.1 </w:t>
      </w:r>
      <w:r>
        <w:rPr>
          <w:rFonts w:ascii="Times New Roman" w:hAnsi="Times New Roman" w:eastAsia="仿宋" w:cs="Times New Roman"/>
          <w:color w:val="auto"/>
          <w:sz w:val="24"/>
          <w:szCs w:val="24"/>
          <w:lang w:eastAsia="zh-CN"/>
        </w:rPr>
        <w:t>本工程施工质量标准及验收标准需满足国家现行的《建筑工程施工质量验收统一标准》（GB50300-2013）、《园林绿化工程施工及验收规范》（CJJ 82-2012）、《园林绿化工程质量验收标准》（CJJ/T 82-2021）、《重庆市城市园林绿化工程施工及验收规范》（DBJ50/T-067-2020）、重庆市颁发的有关条例、规定、标准。</w:t>
      </w:r>
    </w:p>
    <w:p w14:paraId="6E5DFEF9">
      <w:pPr>
        <w:spacing w:line="360" w:lineRule="auto"/>
        <w:ind w:firstLine="480" w:firstLineChars="200"/>
        <w:jc w:val="both"/>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5.2 植物养活期1年，存活率100%。</w:t>
      </w:r>
    </w:p>
    <w:p w14:paraId="0636D120">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安全要求</w:t>
      </w:r>
    </w:p>
    <w:p w14:paraId="00016ECD">
      <w:pPr>
        <w:spacing w:line="360" w:lineRule="auto"/>
        <w:ind w:firstLine="480" w:firstLineChars="20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在施工过程中一切安全责任事故其损均由供应商全部负责。因安全责任事故所致第三人/供应商工人的赔偿责任，供应商应当积极妥善解决并承担全部责任，否则，采购人有权从本合同结算工程款中抵扣相应款项以赔偿被侵权人。</w:t>
      </w:r>
    </w:p>
    <w:p w14:paraId="52046E76">
      <w:pPr>
        <w:numPr>
          <w:ilvl w:val="0"/>
          <w:numId w:val="2"/>
        </w:numPr>
        <w:spacing w:line="360" w:lineRule="auto"/>
        <w:ind w:firstLine="482" w:firstLineChars="20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踏勘现场</w:t>
      </w:r>
    </w:p>
    <w:p w14:paraId="0F0E835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（一）供应商自行踏勘现场，所发生的费用自理。</w:t>
      </w:r>
    </w:p>
    <w:p w14:paraId="3AD1FD4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（二）采购人在踏勘现场中介绍的工程场地和相关的周边环境情况，仅供供应商在编制响应文件时参考，采购人不对供应商据此做出的判断和决策负责。</w:t>
      </w:r>
    </w:p>
    <w:p w14:paraId="24EE174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（五）供应商参加踏勘过现场，均被认为在递交响应文件之前已对本项目的风险和义务已经十分了解，并在其响应文件中已充分考虑了现场和环境条件。</w:t>
      </w:r>
    </w:p>
    <w:p w14:paraId="5D000F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踏勘现场联系人：张老师，电话：150 8685 8271。</w:t>
      </w:r>
      <w:bookmarkStart w:id="11" w:name="_Toc65660341"/>
      <w:bookmarkStart w:id="12" w:name="_Toc15492"/>
      <w:bookmarkStart w:id="13" w:name="_Toc13356"/>
      <w:bookmarkStart w:id="14" w:name="_Toc523"/>
      <w:bookmarkStart w:id="15" w:name="_Toc106034781"/>
    </w:p>
    <w:p w14:paraId="665EB1DB">
      <w:pPr>
        <w:spacing w:line="360" w:lineRule="auto"/>
        <w:jc w:val="center"/>
        <w:rPr>
          <w:rFonts w:ascii="Times New Roman" w:hAnsi="Times New Roman" w:eastAsia="黑体" w:cs="Times New Roman"/>
          <w:b/>
          <w:bCs/>
          <w:color w:val="auto"/>
          <w:sz w:val="32"/>
          <w:szCs w:val="32"/>
          <w:lang w:eastAsia="zh-CN"/>
        </w:rPr>
      </w:pPr>
    </w:p>
    <w:p w14:paraId="59DA0609">
      <w:pPr>
        <w:spacing w:line="360" w:lineRule="auto"/>
        <w:jc w:val="center"/>
        <w:rPr>
          <w:rFonts w:ascii="Times New Roman" w:hAnsi="Times New Roman" w:eastAsia="黑体" w:cs="Times New Roman"/>
          <w:b/>
          <w:bCs/>
          <w:color w:val="auto"/>
          <w:sz w:val="32"/>
          <w:szCs w:val="32"/>
          <w:lang w:eastAsia="zh-CN"/>
        </w:rPr>
      </w:pPr>
    </w:p>
    <w:p w14:paraId="1C265B31">
      <w:pPr>
        <w:spacing w:line="360" w:lineRule="auto"/>
        <w:jc w:val="center"/>
        <w:rPr>
          <w:rFonts w:ascii="Times New Roman" w:hAnsi="Times New Roman" w:eastAsia="黑体" w:cs="Times New Roman"/>
          <w:b/>
          <w:bCs/>
          <w:color w:val="auto"/>
          <w:sz w:val="32"/>
          <w:szCs w:val="32"/>
          <w:lang w:eastAsia="zh-CN"/>
        </w:rPr>
      </w:pPr>
    </w:p>
    <w:p w14:paraId="06852B10">
      <w:pPr>
        <w:spacing w:line="360" w:lineRule="auto"/>
        <w:jc w:val="center"/>
        <w:rPr>
          <w:rFonts w:ascii="Times New Roman" w:hAnsi="Times New Roman" w:eastAsia="黑体" w:cs="Times New Roman"/>
          <w:b/>
          <w:bCs/>
          <w:color w:val="auto"/>
          <w:sz w:val="32"/>
          <w:szCs w:val="32"/>
          <w:lang w:eastAsia="zh-CN"/>
        </w:rPr>
      </w:pPr>
    </w:p>
    <w:p w14:paraId="3DD1CA7F">
      <w:pPr>
        <w:spacing w:line="360" w:lineRule="auto"/>
        <w:jc w:val="center"/>
        <w:rPr>
          <w:rFonts w:ascii="Times New Roman" w:hAnsi="Times New Roman" w:eastAsia="黑体" w:cs="Times New Roman"/>
          <w:b/>
          <w:bCs/>
          <w:color w:val="auto"/>
          <w:sz w:val="32"/>
          <w:szCs w:val="32"/>
          <w:lang w:eastAsia="zh-CN"/>
        </w:rPr>
      </w:pPr>
    </w:p>
    <w:p w14:paraId="34524121">
      <w:pPr>
        <w:spacing w:line="360" w:lineRule="auto"/>
        <w:jc w:val="center"/>
        <w:rPr>
          <w:rFonts w:ascii="Times New Roman" w:hAnsi="Times New Roman" w:eastAsia="黑体" w:cs="Times New Roman"/>
          <w:b/>
          <w:bCs/>
          <w:color w:val="auto"/>
          <w:sz w:val="32"/>
          <w:szCs w:val="32"/>
          <w:lang w:eastAsia="zh-CN"/>
        </w:rPr>
      </w:pPr>
    </w:p>
    <w:p w14:paraId="52996468">
      <w:pPr>
        <w:spacing w:line="360" w:lineRule="auto"/>
        <w:jc w:val="center"/>
        <w:rPr>
          <w:rFonts w:ascii="Times New Roman" w:hAnsi="Times New Roman" w:eastAsia="黑体" w:cs="Times New Roman"/>
          <w:b/>
          <w:bCs/>
          <w:color w:val="auto"/>
          <w:sz w:val="32"/>
          <w:szCs w:val="32"/>
          <w:lang w:eastAsia="zh-CN"/>
        </w:rPr>
      </w:pPr>
    </w:p>
    <w:p w14:paraId="61ADC651">
      <w:pPr>
        <w:spacing w:line="360" w:lineRule="auto"/>
        <w:jc w:val="center"/>
        <w:rPr>
          <w:rFonts w:ascii="Times New Roman" w:hAnsi="Times New Roman" w:eastAsia="黑体" w:cs="Times New Roman"/>
          <w:b/>
          <w:bCs/>
          <w:color w:val="auto"/>
          <w:sz w:val="32"/>
          <w:szCs w:val="32"/>
          <w:lang w:eastAsia="zh-CN"/>
        </w:rPr>
      </w:pPr>
    </w:p>
    <w:p w14:paraId="629DF7C7">
      <w:pP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61376BC7">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第三篇  </w:t>
      </w:r>
      <w:bookmarkEnd w:id="10"/>
      <w:r>
        <w:rPr>
          <w:rFonts w:ascii="Times New Roman" w:hAnsi="Times New Roman" w:eastAsia="黑体" w:cs="Times New Roman"/>
          <w:b/>
          <w:bCs/>
          <w:color w:val="auto"/>
          <w:sz w:val="32"/>
          <w:szCs w:val="32"/>
          <w:lang w:eastAsia="zh-CN"/>
        </w:rPr>
        <w:t>项目</w:t>
      </w:r>
      <w:bookmarkEnd w:id="11"/>
      <w:bookmarkEnd w:id="12"/>
      <w:bookmarkEnd w:id="13"/>
      <w:bookmarkEnd w:id="14"/>
      <w:r>
        <w:rPr>
          <w:rFonts w:ascii="Times New Roman" w:hAnsi="Times New Roman" w:eastAsia="黑体" w:cs="Times New Roman"/>
          <w:b/>
          <w:bCs/>
          <w:color w:val="auto"/>
          <w:sz w:val="32"/>
          <w:szCs w:val="32"/>
          <w:lang w:eastAsia="zh-CN"/>
        </w:rPr>
        <w:t>商务需求</w:t>
      </w:r>
      <w:bookmarkEnd w:id="15"/>
    </w:p>
    <w:p w14:paraId="262E8D02">
      <w:pPr>
        <w:spacing w:line="360" w:lineRule="auto"/>
        <w:ind w:firstLine="480"/>
        <w:jc w:val="both"/>
        <w:rPr>
          <w:rFonts w:ascii="Times New Roman" w:hAnsi="Times New Roman" w:eastAsia="黑体" w:cs="Times New Roman"/>
          <w:b/>
          <w:bCs/>
          <w:color w:val="auto"/>
          <w:sz w:val="24"/>
          <w:szCs w:val="24"/>
          <w:lang w:eastAsia="zh-CN"/>
        </w:rPr>
      </w:pPr>
      <w:bookmarkStart w:id="16" w:name="_Toc6595"/>
      <w:bookmarkStart w:id="17" w:name="_Toc13728"/>
      <w:bookmarkStart w:id="18" w:name="_Toc30118"/>
      <w:bookmarkStart w:id="19" w:name="_Toc10039"/>
      <w:bookmarkStart w:id="20" w:name="_Toc14029"/>
      <w:bookmarkStart w:id="21" w:name="_Toc11380"/>
      <w:bookmarkStart w:id="22" w:name="_Toc28521"/>
      <w:bookmarkStart w:id="23" w:name="_Toc12769"/>
      <w:bookmarkStart w:id="24" w:name="_Toc12768"/>
      <w:bookmarkStart w:id="25" w:name="_Toc106030385"/>
      <w:bookmarkStart w:id="26" w:name="_Toc23501"/>
      <w:bookmarkStart w:id="27" w:name="_Toc25477"/>
      <w:bookmarkStart w:id="28" w:name="_Toc13389"/>
      <w:bookmarkStart w:id="29" w:name="_Toc3031"/>
      <w:bookmarkStart w:id="30" w:name="_Toc8752"/>
      <w:bookmarkStart w:id="31" w:name="_Toc9676"/>
      <w:bookmarkStart w:id="32" w:name="_Toc75793509"/>
      <w:bookmarkStart w:id="33" w:name="_Toc22944"/>
      <w:bookmarkStart w:id="34" w:name="_Toc21429"/>
      <w:bookmarkStart w:id="35" w:name="_Toc4030"/>
      <w:r>
        <w:rPr>
          <w:rFonts w:ascii="Times New Roman" w:hAnsi="Times New Roman" w:eastAsia="黑体" w:cs="Times New Roman"/>
          <w:b/>
          <w:bCs/>
          <w:color w:val="auto"/>
          <w:sz w:val="24"/>
          <w:szCs w:val="24"/>
          <w:lang w:eastAsia="zh-CN"/>
        </w:rPr>
        <w:t>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Toc122"/>
      <w:bookmarkStart w:id="37" w:name="_Toc12184"/>
      <w:bookmarkStart w:id="38" w:name="_Toc106034784"/>
      <w:bookmarkStart w:id="39" w:name="_Toc65660344"/>
      <w:bookmarkStart w:id="40" w:name="_Toc16974"/>
      <w:r>
        <w:rPr>
          <w:rFonts w:ascii="Times New Roman" w:hAnsi="Times New Roman" w:eastAsia="黑体" w:cs="Times New Roman"/>
          <w:b/>
          <w:bCs/>
          <w:color w:val="auto"/>
          <w:sz w:val="24"/>
          <w:szCs w:val="24"/>
          <w:lang w:eastAsia="zh-CN"/>
        </w:rPr>
        <w:t>承包方式：</w:t>
      </w:r>
    </w:p>
    <w:p w14:paraId="62E445C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本工程为包工包料、包质量、包工期、</w:t>
      </w:r>
      <w:r>
        <w:rPr>
          <w:rFonts w:hint="eastAsia" w:ascii="Times New Roman" w:hAnsi="Times New Roman" w:eastAsia="仿宋" w:cs="Times New Roman"/>
          <w:color w:val="auto"/>
          <w:sz w:val="24"/>
          <w:szCs w:val="24"/>
          <w:lang w:eastAsia="zh-CN"/>
        </w:rPr>
        <w:t>包存活、</w:t>
      </w:r>
      <w:r>
        <w:rPr>
          <w:rFonts w:ascii="Times New Roman" w:hAnsi="Times New Roman" w:eastAsia="仿宋" w:cs="Times New Roman"/>
          <w:color w:val="auto"/>
          <w:sz w:val="24"/>
          <w:szCs w:val="24"/>
          <w:lang w:eastAsia="zh-CN"/>
        </w:rPr>
        <w:t>包风险、包设计和施工（优化设计方案以甲方认可为准）、包安全文明施工、包竣工资料的交钥匙工程。</w:t>
      </w:r>
    </w:p>
    <w:p w14:paraId="6A563BD5">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二、报价及结算要求</w:t>
      </w:r>
    </w:p>
    <w:p w14:paraId="0942585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2.1本次报价为人民币报价，报价应包括并不仅限于包括但不限于（设计+施工）的人工费、机械费、材料费、措施费、管理费、利润、</w:t>
      </w:r>
      <w:r>
        <w:rPr>
          <w:rFonts w:hint="eastAsia" w:ascii="Times New Roman" w:hAnsi="Times New Roman" w:eastAsia="仿宋" w:cs="Times New Roman"/>
          <w:color w:val="auto"/>
          <w:sz w:val="24"/>
          <w:szCs w:val="24"/>
          <w:lang w:eastAsia="zh-CN"/>
        </w:rPr>
        <w:t>苗木养护费、</w:t>
      </w:r>
      <w:r>
        <w:rPr>
          <w:rFonts w:ascii="Times New Roman" w:hAnsi="Times New Roman" w:eastAsia="仿宋" w:cs="Times New Roman"/>
          <w:color w:val="auto"/>
          <w:sz w:val="24"/>
          <w:szCs w:val="24"/>
          <w:lang w:eastAsia="zh-CN"/>
        </w:rPr>
        <w:t>协调费、赶工费、安全文明施工费、配合费、资料档案费（如有）、除渣费（含单面3km运距）、停窝工损失费、各类市场风险及其他应由乙方承担的所有费用。不因工资、物价、税率或汇率变动、保险政策变动或任何调价文件之要求而调整。</w:t>
      </w:r>
    </w:p>
    <w:p w14:paraId="51439BA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2.2 本工程采用总价包干的结算方式确定，成交供应商</w:t>
      </w:r>
      <w:r>
        <w:rPr>
          <w:rFonts w:hint="eastAsia" w:ascii="Times New Roman" w:hAnsi="Times New Roman" w:eastAsia="仿宋" w:cs="Times New Roman"/>
          <w:color w:val="auto"/>
          <w:sz w:val="24"/>
          <w:szCs w:val="24"/>
          <w:lang w:val="en-US" w:eastAsia="zh-CN"/>
        </w:rPr>
        <w:t>设计方案经采购人认可后，按照投标报价与最终设计的工程量计算出的总报价</w:t>
      </w:r>
      <w:r>
        <w:rPr>
          <w:rFonts w:ascii="Times New Roman" w:hAnsi="Times New Roman" w:eastAsia="仿宋" w:cs="Times New Roman"/>
          <w:color w:val="auto"/>
          <w:sz w:val="24"/>
          <w:szCs w:val="24"/>
          <w:lang w:eastAsia="zh-CN"/>
        </w:rPr>
        <w:t>即为合同结算总价。因成交供应商自身原因造成漏报、少报皆由其自行承担责任，采购人不再补偿。</w:t>
      </w:r>
    </w:p>
    <w:p w14:paraId="29B8442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黑体" w:cs="Times New Roman"/>
          <w:b/>
          <w:bCs/>
          <w:color w:val="auto"/>
          <w:sz w:val="24"/>
          <w:szCs w:val="24"/>
          <w:lang w:eastAsia="zh-CN"/>
        </w:rPr>
        <w:t>三、付款方式</w:t>
      </w:r>
      <w:r>
        <w:rPr>
          <w:rFonts w:ascii="Times New Roman" w:hAnsi="Times New Roman" w:eastAsia="仿宋" w:cs="Times New Roman"/>
          <w:color w:val="auto"/>
          <w:sz w:val="24"/>
          <w:szCs w:val="24"/>
          <w:lang w:eastAsia="zh-CN"/>
        </w:rPr>
        <w:t xml:space="preserve"> </w:t>
      </w:r>
    </w:p>
    <w:p w14:paraId="1D1B026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3.1 工程合同履约保证金为</w:t>
      </w:r>
      <w:r>
        <w:rPr>
          <w:rFonts w:hint="eastAsia" w:ascii="Times New Roman" w:hAnsi="Times New Roman" w:eastAsia="仿宋" w:cs="Times New Roman"/>
          <w:color w:val="auto"/>
          <w:sz w:val="24"/>
          <w:szCs w:val="24"/>
          <w:lang w:val="en-US" w:eastAsia="zh-CN"/>
        </w:rPr>
        <w:t>合同金额的10%</w:t>
      </w:r>
      <w:r>
        <w:rPr>
          <w:rFonts w:ascii="Times New Roman" w:hAnsi="Times New Roman" w:eastAsia="仿宋" w:cs="Times New Roman"/>
          <w:color w:val="auto"/>
          <w:sz w:val="24"/>
          <w:szCs w:val="24"/>
          <w:lang w:eastAsia="zh-CN"/>
        </w:rPr>
        <w:t>，签定合同</w:t>
      </w:r>
      <w:r>
        <w:rPr>
          <w:rFonts w:hint="eastAsia" w:ascii="Times New Roman" w:hAnsi="Times New Roman" w:eastAsia="仿宋" w:cs="Times New Roman"/>
          <w:color w:val="auto"/>
          <w:sz w:val="24"/>
          <w:szCs w:val="24"/>
          <w:lang w:eastAsia="zh-CN"/>
        </w:rPr>
        <w:t>时</w:t>
      </w:r>
      <w:r>
        <w:rPr>
          <w:rFonts w:ascii="Times New Roman" w:hAnsi="Times New Roman" w:eastAsia="仿宋" w:cs="Times New Roman"/>
          <w:color w:val="auto"/>
          <w:sz w:val="24"/>
          <w:szCs w:val="24"/>
          <w:lang w:eastAsia="zh-CN"/>
        </w:rPr>
        <w:t>支付，此履约保证金在竣工验收合格后10日内甲方无息返还。</w:t>
      </w:r>
    </w:p>
    <w:p w14:paraId="3038F84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 工程款支付：本工程无预付款，共分三次支付。</w:t>
      </w:r>
    </w:p>
    <w:p w14:paraId="149965C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3.2.1</w:t>
      </w:r>
      <w:r>
        <w:rPr>
          <w:rFonts w:hint="eastAsia"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lang w:eastAsia="zh-CN"/>
        </w:rPr>
        <w:t>第一次支付：设计方案经</w:t>
      </w:r>
      <w:r>
        <w:rPr>
          <w:rFonts w:hint="eastAsia" w:ascii="Times New Roman" w:hAnsi="Times New Roman" w:eastAsia="仿宋" w:cs="Times New Roman"/>
          <w:color w:val="auto"/>
          <w:sz w:val="24"/>
          <w:szCs w:val="24"/>
          <w:lang w:val="en-US" w:eastAsia="zh-CN"/>
        </w:rPr>
        <w:t>采购人</w:t>
      </w:r>
      <w:r>
        <w:rPr>
          <w:rFonts w:ascii="Times New Roman" w:hAnsi="Times New Roman" w:eastAsia="仿宋" w:cs="Times New Roman"/>
          <w:color w:val="auto"/>
          <w:sz w:val="24"/>
          <w:szCs w:val="24"/>
          <w:lang w:eastAsia="zh-CN"/>
        </w:rPr>
        <w:t>签字认可后支付工程总价的</w:t>
      </w:r>
      <w:r>
        <w:rPr>
          <w:rFonts w:hint="eastAsia" w:ascii="Times New Roman" w:hAnsi="Times New Roman" w:eastAsia="仿宋" w:cs="Times New Roman"/>
          <w:color w:val="auto"/>
          <w:sz w:val="24"/>
          <w:szCs w:val="24"/>
          <w:lang w:val="en-US" w:eastAsia="zh-CN"/>
        </w:rPr>
        <w:t>5</w:t>
      </w:r>
      <w:r>
        <w:rPr>
          <w:rFonts w:ascii="Times New Roman" w:hAnsi="Times New Roman" w:eastAsia="仿宋" w:cs="Times New Roman"/>
          <w:color w:val="auto"/>
          <w:sz w:val="24"/>
          <w:szCs w:val="24"/>
          <w:lang w:eastAsia="zh-CN"/>
        </w:rPr>
        <w:t>%。</w:t>
      </w:r>
    </w:p>
    <w:p w14:paraId="5BE16C2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3.2.2 第二次支付:工程竣工验收合格办理完结算后30日内支付至审定结算总金额的97%，保留审定结算总价款的3%作为质量保证金。</w:t>
      </w:r>
    </w:p>
    <w:p w14:paraId="71FF52E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3.2.3 第三次支付：</w:t>
      </w:r>
      <w:r>
        <w:rPr>
          <w:rFonts w:hint="eastAsia" w:ascii="Times New Roman" w:hAnsi="Times New Roman" w:eastAsia="仿宋" w:cs="Times New Roman"/>
          <w:color w:val="auto"/>
          <w:sz w:val="24"/>
          <w:szCs w:val="24"/>
          <w:lang w:val="en-US" w:eastAsia="zh-CN"/>
        </w:rPr>
        <w:t>1</w:t>
      </w:r>
      <w:r>
        <w:rPr>
          <w:rFonts w:ascii="Times New Roman" w:hAnsi="Times New Roman" w:eastAsia="仿宋" w:cs="Times New Roman"/>
          <w:color w:val="auto"/>
          <w:sz w:val="24"/>
          <w:szCs w:val="24"/>
          <w:lang w:eastAsia="zh-CN"/>
        </w:rPr>
        <w:t>年质量缺陷期</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养护期</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满后10日内无息支付质保金。质量缺陷期间</w:t>
      </w:r>
      <w:r>
        <w:rPr>
          <w:rFonts w:hint="eastAsia" w:ascii="Times New Roman" w:hAnsi="Times New Roman" w:eastAsia="仿宋" w:cs="Times New Roman"/>
          <w:color w:val="auto"/>
          <w:sz w:val="24"/>
          <w:szCs w:val="24"/>
          <w:lang w:val="en-US" w:eastAsia="zh-CN"/>
        </w:rPr>
        <w:t>供应商</w:t>
      </w:r>
      <w:r>
        <w:rPr>
          <w:rFonts w:ascii="Times New Roman" w:hAnsi="Times New Roman" w:eastAsia="仿宋" w:cs="Times New Roman"/>
          <w:color w:val="auto"/>
          <w:sz w:val="24"/>
          <w:szCs w:val="24"/>
          <w:lang w:eastAsia="zh-CN"/>
        </w:rPr>
        <w:t>积极完成质量缺陷整改，退质保金时不得有质量缺陷。</w:t>
      </w:r>
    </w:p>
    <w:p w14:paraId="6B1D8632">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3.3 </w:t>
      </w:r>
      <w:r>
        <w:rPr>
          <w:rFonts w:hint="eastAsia" w:ascii="Times New Roman" w:hAnsi="Times New Roman" w:eastAsia="仿宋" w:cs="Times New Roman"/>
          <w:color w:val="auto"/>
          <w:sz w:val="24"/>
          <w:szCs w:val="24"/>
          <w:lang w:val="en-US" w:eastAsia="zh-CN"/>
        </w:rPr>
        <w:t>采购人</w:t>
      </w:r>
      <w:r>
        <w:rPr>
          <w:rFonts w:ascii="Times New Roman" w:hAnsi="Times New Roman" w:eastAsia="仿宋" w:cs="Times New Roman"/>
          <w:color w:val="auto"/>
          <w:sz w:val="24"/>
          <w:szCs w:val="24"/>
          <w:lang w:eastAsia="zh-CN"/>
        </w:rPr>
        <w:t>支付每笔款项前，</w:t>
      </w:r>
      <w:r>
        <w:rPr>
          <w:rFonts w:hint="eastAsia" w:ascii="Times New Roman" w:hAnsi="Times New Roman" w:eastAsia="仿宋" w:cs="Times New Roman"/>
          <w:color w:val="auto"/>
          <w:sz w:val="24"/>
          <w:szCs w:val="24"/>
          <w:lang w:val="en-US" w:eastAsia="zh-CN"/>
        </w:rPr>
        <w:t>供应商</w:t>
      </w:r>
      <w:r>
        <w:rPr>
          <w:rFonts w:ascii="Times New Roman" w:hAnsi="Times New Roman" w:eastAsia="仿宋" w:cs="Times New Roman"/>
          <w:color w:val="auto"/>
          <w:sz w:val="24"/>
          <w:szCs w:val="24"/>
          <w:lang w:eastAsia="zh-CN"/>
        </w:rPr>
        <w:t>需开具有效</w:t>
      </w:r>
      <w:r>
        <w:rPr>
          <w:rFonts w:hint="eastAsia" w:ascii="Times New Roman" w:hAnsi="Times New Roman" w:eastAsia="仿宋" w:cs="Times New Roman"/>
          <w:color w:val="auto"/>
          <w:sz w:val="24"/>
          <w:szCs w:val="24"/>
          <w:lang w:eastAsia="zh-CN"/>
        </w:rPr>
        <w:t>的</w:t>
      </w:r>
      <w:r>
        <w:rPr>
          <w:rFonts w:ascii="Times New Roman" w:hAnsi="Times New Roman" w:eastAsia="仿宋" w:cs="Times New Roman"/>
          <w:color w:val="auto"/>
          <w:sz w:val="24"/>
          <w:szCs w:val="24"/>
          <w:lang w:eastAsia="zh-CN"/>
        </w:rPr>
        <w:t>增值税普通发票。</w:t>
      </w:r>
    </w:p>
    <w:bookmarkEnd w:id="36"/>
    <w:bookmarkEnd w:id="37"/>
    <w:bookmarkEnd w:id="38"/>
    <w:bookmarkEnd w:id="39"/>
    <w:bookmarkEnd w:id="40"/>
    <w:p w14:paraId="66B2113E">
      <w:pPr>
        <w:spacing w:line="360" w:lineRule="auto"/>
        <w:ind w:firstLine="480"/>
        <w:jc w:val="both"/>
        <w:rPr>
          <w:rFonts w:ascii="Times New Roman" w:hAnsi="Times New Roman" w:eastAsia="黑体" w:cs="Times New Roman"/>
          <w:b/>
          <w:bCs/>
          <w:color w:val="auto"/>
          <w:sz w:val="24"/>
          <w:szCs w:val="24"/>
          <w:lang w:eastAsia="zh-CN"/>
        </w:rPr>
      </w:pPr>
      <w:bookmarkStart w:id="41" w:name="_Toc3786"/>
      <w:bookmarkStart w:id="42" w:name="_Toc7228"/>
      <w:bookmarkStart w:id="43" w:name="_Toc65660346"/>
      <w:bookmarkStart w:id="44" w:name="_Toc24751"/>
      <w:bookmarkStart w:id="45" w:name="_Toc106034786"/>
      <w:r>
        <w:rPr>
          <w:rFonts w:ascii="Times New Roman" w:hAnsi="Times New Roman" w:eastAsia="黑体" w:cs="Times New Roman"/>
          <w:b/>
          <w:bCs/>
          <w:color w:val="auto"/>
          <w:sz w:val="24"/>
          <w:szCs w:val="24"/>
          <w:lang w:eastAsia="zh-CN"/>
        </w:rPr>
        <w:t>四、</w:t>
      </w:r>
      <w:bookmarkEnd w:id="41"/>
      <w:bookmarkEnd w:id="42"/>
      <w:bookmarkEnd w:id="43"/>
      <w:bookmarkEnd w:id="44"/>
      <w:bookmarkEnd w:id="45"/>
      <w:bookmarkStart w:id="46" w:name="_Toc31659"/>
      <w:bookmarkStart w:id="47" w:name="_Toc106034788"/>
      <w:bookmarkStart w:id="48" w:name="_Toc65660348"/>
      <w:bookmarkStart w:id="49" w:name="_Toc23902"/>
      <w:bookmarkStart w:id="50" w:name="_Toc21248"/>
      <w:r>
        <w:rPr>
          <w:rFonts w:ascii="Times New Roman" w:hAnsi="Times New Roman" w:eastAsia="黑体" w:cs="Times New Roman"/>
          <w:b/>
          <w:bCs/>
          <w:color w:val="auto"/>
          <w:sz w:val="24"/>
          <w:szCs w:val="24"/>
          <w:lang w:eastAsia="zh-CN"/>
        </w:rPr>
        <w:t>其他</w:t>
      </w:r>
      <w:bookmarkEnd w:id="46"/>
      <w:bookmarkEnd w:id="47"/>
      <w:bookmarkEnd w:id="48"/>
      <w:bookmarkEnd w:id="49"/>
      <w:bookmarkEnd w:id="50"/>
    </w:p>
    <w:p w14:paraId="584C52B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其他未尽事宜由供需双方在采购合同中详细约定。</w:t>
      </w:r>
      <w:bookmarkStart w:id="51" w:name="_Toc24195"/>
      <w:bookmarkStart w:id="52" w:name="_Toc31282"/>
      <w:bookmarkStart w:id="53" w:name="_Toc65660349"/>
      <w:bookmarkStart w:id="54" w:name="_Toc16123"/>
      <w:bookmarkStart w:id="55" w:name="_Toc106034789"/>
    </w:p>
    <w:p w14:paraId="030DEC22">
      <w:pPr>
        <w:spacing w:line="360" w:lineRule="auto"/>
        <w:ind w:firstLine="480"/>
        <w:jc w:val="both"/>
        <w:rPr>
          <w:rFonts w:ascii="Times New Roman" w:hAnsi="Times New Roman" w:eastAsia="仿宋" w:cs="Times New Roman"/>
          <w:color w:val="auto"/>
          <w:sz w:val="24"/>
          <w:szCs w:val="24"/>
          <w:lang w:eastAsia="zh-CN"/>
        </w:rPr>
      </w:pPr>
    </w:p>
    <w:p w14:paraId="482889ED">
      <w:pPr>
        <w:spacing w:line="360" w:lineRule="auto"/>
        <w:ind w:firstLine="480"/>
        <w:jc w:val="both"/>
        <w:rPr>
          <w:rFonts w:ascii="Times New Roman" w:hAnsi="Times New Roman" w:eastAsia="仿宋" w:cs="Times New Roman"/>
          <w:color w:val="auto"/>
          <w:sz w:val="24"/>
          <w:szCs w:val="24"/>
          <w:lang w:eastAsia="zh-CN"/>
        </w:rPr>
      </w:pPr>
    </w:p>
    <w:p w14:paraId="56401E11">
      <w:pPr>
        <w:spacing w:line="360" w:lineRule="auto"/>
        <w:ind w:firstLine="480"/>
        <w:jc w:val="both"/>
        <w:rPr>
          <w:rFonts w:ascii="Times New Roman" w:hAnsi="Times New Roman" w:eastAsia="仿宋" w:cs="Times New Roman"/>
          <w:color w:val="auto"/>
          <w:sz w:val="24"/>
          <w:szCs w:val="24"/>
          <w:lang w:eastAsia="zh-CN"/>
        </w:rPr>
      </w:pPr>
    </w:p>
    <w:p w14:paraId="74CE6244">
      <w:pPr>
        <w:spacing w:line="360" w:lineRule="auto"/>
        <w:ind w:firstLine="480"/>
        <w:jc w:val="both"/>
        <w:rPr>
          <w:rFonts w:ascii="Times New Roman" w:hAnsi="Times New Roman" w:eastAsia="仿宋" w:cs="Times New Roman"/>
          <w:color w:val="auto"/>
          <w:sz w:val="24"/>
          <w:szCs w:val="24"/>
          <w:lang w:eastAsia="zh-CN"/>
        </w:rPr>
      </w:pPr>
    </w:p>
    <w:p w14:paraId="2C9CC0B7">
      <w:pPr>
        <w:spacing w:line="360" w:lineRule="auto"/>
        <w:ind w:firstLine="480"/>
        <w:jc w:val="both"/>
        <w:rPr>
          <w:rFonts w:ascii="Times New Roman" w:hAnsi="Times New Roman" w:eastAsia="仿宋" w:cs="Times New Roman"/>
          <w:color w:val="auto"/>
          <w:sz w:val="24"/>
          <w:szCs w:val="24"/>
          <w:lang w:eastAsia="zh-CN"/>
        </w:rPr>
      </w:pPr>
    </w:p>
    <w:p w14:paraId="7BC20DAC">
      <w:pPr>
        <w:kinsoku/>
        <w:autoSpaceDE/>
        <w:autoSpaceDN/>
        <w:adjustRightInd/>
        <w:snapToGrid/>
        <w:textAlignment w:val="auto"/>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7FE7B868">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第四篇  </w:t>
      </w:r>
      <w:bookmarkStart w:id="56" w:name="_Hlk211890231"/>
      <w:r>
        <w:rPr>
          <w:rFonts w:hint="eastAsia" w:ascii="Times New Roman" w:hAnsi="Times New Roman" w:eastAsia="黑体" w:cs="Times New Roman"/>
          <w:b/>
          <w:bCs/>
          <w:color w:val="auto"/>
          <w:sz w:val="32"/>
          <w:szCs w:val="32"/>
          <w:lang w:eastAsia="zh-CN"/>
        </w:rPr>
        <w:t>比选</w:t>
      </w:r>
      <w:r>
        <w:rPr>
          <w:rFonts w:ascii="Times New Roman" w:hAnsi="Times New Roman" w:eastAsia="黑体" w:cs="Times New Roman"/>
          <w:b/>
          <w:bCs/>
          <w:color w:val="auto"/>
          <w:sz w:val="32"/>
          <w:szCs w:val="32"/>
          <w:lang w:eastAsia="zh-CN"/>
        </w:rPr>
        <w:t>程序、</w:t>
      </w:r>
      <w:bookmarkEnd w:id="51"/>
      <w:bookmarkEnd w:id="52"/>
      <w:bookmarkEnd w:id="53"/>
      <w:bookmarkEnd w:id="54"/>
      <w:bookmarkEnd w:id="55"/>
      <w:bookmarkEnd w:id="56"/>
      <w:bookmarkStart w:id="57" w:name="_Toc27932"/>
      <w:bookmarkStart w:id="58" w:name="_Toc9361"/>
      <w:bookmarkStart w:id="59" w:name="_Toc65660350"/>
      <w:bookmarkStart w:id="60" w:name="_Toc106034790"/>
      <w:bookmarkStart w:id="61" w:name="_Toc64732012"/>
      <w:bookmarkStart w:id="62" w:name="_Toc5167"/>
      <w:r>
        <w:rPr>
          <w:rFonts w:hint="eastAsia" w:ascii="Times New Roman" w:hAnsi="Times New Roman" w:eastAsia="黑体" w:cs="Times New Roman"/>
          <w:b/>
          <w:bCs/>
          <w:color w:val="auto"/>
          <w:sz w:val="32"/>
          <w:szCs w:val="32"/>
          <w:lang w:eastAsia="zh-CN"/>
        </w:rPr>
        <w:t>评定成交的标准、无效响应及采购终止</w:t>
      </w:r>
    </w:p>
    <w:p w14:paraId="746FC3C5">
      <w:pPr>
        <w:spacing w:line="360" w:lineRule="auto"/>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一、采购程序</w:t>
      </w:r>
      <w:bookmarkEnd w:id="57"/>
      <w:bookmarkEnd w:id="58"/>
      <w:bookmarkEnd w:id="59"/>
      <w:bookmarkEnd w:id="60"/>
      <w:bookmarkEnd w:id="61"/>
      <w:bookmarkEnd w:id="62"/>
    </w:p>
    <w:p w14:paraId="7EB6407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本次比选</w:t>
      </w:r>
      <w:r>
        <w:rPr>
          <w:rFonts w:ascii="Times New Roman" w:hAnsi="Times New Roman" w:eastAsia="仿宋" w:cs="Times New Roman"/>
          <w:color w:val="auto"/>
          <w:sz w:val="24"/>
          <w:szCs w:val="24"/>
          <w:lang w:eastAsia="zh-CN"/>
        </w:rPr>
        <w:t>按</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规定的时间和地点进行。</w:t>
      </w:r>
    </w:p>
    <w:p w14:paraId="30D3343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（二）本项目由</w:t>
      </w:r>
      <w:r>
        <w:rPr>
          <w:rFonts w:hint="eastAsia" w:ascii="Times New Roman" w:hAnsi="Times New Roman" w:eastAsia="仿宋" w:cs="Times New Roman"/>
          <w:color w:val="auto"/>
          <w:sz w:val="24"/>
          <w:szCs w:val="24"/>
          <w:lang w:eastAsia="zh-CN"/>
        </w:rPr>
        <w:t>采购人组织的评审小组</w:t>
      </w:r>
      <w:r>
        <w:rPr>
          <w:rFonts w:ascii="Times New Roman" w:hAnsi="Times New Roman" w:eastAsia="仿宋" w:cs="Times New Roman"/>
          <w:color w:val="auto"/>
          <w:sz w:val="24"/>
          <w:szCs w:val="24"/>
          <w:lang w:eastAsia="zh-CN"/>
        </w:rPr>
        <w:t>对各供应商的资格条件、实质性响应等</w:t>
      </w:r>
      <w:r>
        <w:rPr>
          <w:rFonts w:hint="eastAsia" w:ascii="Times New Roman" w:hAnsi="Times New Roman" w:eastAsia="仿宋" w:cs="Times New Roman"/>
          <w:color w:val="auto"/>
          <w:sz w:val="24"/>
          <w:szCs w:val="24"/>
          <w:lang w:eastAsia="zh-CN"/>
        </w:rPr>
        <w:t>内容</w:t>
      </w:r>
      <w:r>
        <w:rPr>
          <w:rFonts w:ascii="Times New Roman" w:hAnsi="Times New Roman" w:eastAsia="仿宋" w:cs="Times New Roman"/>
          <w:color w:val="auto"/>
          <w:sz w:val="24"/>
          <w:szCs w:val="24"/>
          <w:lang w:eastAsia="zh-CN"/>
        </w:rPr>
        <w:t>进行审</w:t>
      </w:r>
      <w:r>
        <w:rPr>
          <w:rFonts w:hint="eastAsia" w:ascii="Times New Roman" w:hAnsi="Times New Roman" w:eastAsia="仿宋" w:cs="Times New Roman"/>
          <w:color w:val="auto"/>
          <w:sz w:val="24"/>
          <w:szCs w:val="24"/>
          <w:lang w:eastAsia="zh-CN"/>
        </w:rPr>
        <w:t>查</w:t>
      </w:r>
      <w:r>
        <w:rPr>
          <w:rFonts w:ascii="Times New Roman" w:hAnsi="Times New Roman" w:eastAsia="仿宋" w:cs="Times New Roman"/>
          <w:color w:val="auto"/>
          <w:sz w:val="24"/>
          <w:szCs w:val="24"/>
          <w:lang w:eastAsia="zh-CN"/>
        </w:rPr>
        <w:t>。</w:t>
      </w:r>
    </w:p>
    <w:p w14:paraId="318659D3">
      <w:pPr>
        <w:spacing w:line="360" w:lineRule="auto"/>
        <w:ind w:firstLine="481"/>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1.资格性审查。依据法律法规和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的规定，对响应文件中的资格证明材料、保证金等进行审查。</w:t>
      </w:r>
      <w:r>
        <w:rPr>
          <w:rFonts w:ascii="Times New Roman" w:hAnsi="Times New Roman" w:eastAsia="仿宋" w:cs="Times New Roman"/>
          <w:color w:val="auto"/>
          <w:sz w:val="24"/>
          <w:szCs w:val="24"/>
        </w:rPr>
        <w:t>资格性审查内容如下：</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85"/>
        <w:gridCol w:w="3240"/>
        <w:gridCol w:w="4271"/>
      </w:tblGrid>
      <w:tr w14:paraId="77BE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14:paraId="0A30D091">
            <w:pPr>
              <w:jc w:val="center"/>
              <w:rPr>
                <w:rFonts w:ascii="Times New Roman" w:hAnsi="Times New Roman" w:eastAsia="仿宋" w:cs="Times New Roman"/>
                <w:color w:val="auto"/>
              </w:rPr>
            </w:pPr>
            <w:r>
              <w:rPr>
                <w:rFonts w:ascii="Times New Roman" w:hAnsi="Times New Roman" w:eastAsia="仿宋" w:cs="Times New Roman"/>
                <w:color w:val="auto"/>
              </w:rPr>
              <w:t>序号</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0DBE0725">
            <w:pPr>
              <w:jc w:val="center"/>
              <w:rPr>
                <w:rFonts w:ascii="Times New Roman" w:hAnsi="Times New Roman" w:eastAsia="仿宋" w:cs="Times New Roman"/>
                <w:color w:val="auto"/>
              </w:rPr>
            </w:pPr>
            <w:r>
              <w:rPr>
                <w:rFonts w:ascii="Times New Roman" w:hAnsi="Times New Roman" w:eastAsia="仿宋" w:cs="Times New Roman"/>
                <w:color w:val="auto"/>
              </w:rPr>
              <w:t>检查因素</w:t>
            </w:r>
          </w:p>
        </w:tc>
        <w:tc>
          <w:tcPr>
            <w:tcW w:w="4271" w:type="dxa"/>
            <w:tcBorders>
              <w:top w:val="single" w:color="auto" w:sz="4" w:space="0"/>
              <w:left w:val="single" w:color="auto" w:sz="4" w:space="0"/>
              <w:bottom w:val="single" w:color="auto" w:sz="4" w:space="0"/>
              <w:right w:val="single" w:color="auto" w:sz="4" w:space="0"/>
            </w:tcBorders>
            <w:vAlign w:val="center"/>
          </w:tcPr>
          <w:p w14:paraId="4E24E052">
            <w:pPr>
              <w:jc w:val="center"/>
              <w:rPr>
                <w:rFonts w:ascii="Times New Roman" w:hAnsi="Times New Roman" w:eastAsia="仿宋" w:cs="Times New Roman"/>
                <w:color w:val="auto"/>
              </w:rPr>
            </w:pPr>
            <w:r>
              <w:rPr>
                <w:rFonts w:ascii="Times New Roman" w:hAnsi="Times New Roman" w:eastAsia="仿宋" w:cs="Times New Roman"/>
                <w:color w:val="auto"/>
              </w:rPr>
              <w:t>检查内容</w:t>
            </w:r>
          </w:p>
        </w:tc>
      </w:tr>
      <w:tr w14:paraId="6113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635C42B1">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1</w:t>
            </w:r>
          </w:p>
        </w:tc>
        <w:tc>
          <w:tcPr>
            <w:tcW w:w="885" w:type="dxa"/>
            <w:vMerge w:val="restart"/>
            <w:vAlign w:val="center"/>
          </w:tcPr>
          <w:p w14:paraId="657771D1">
            <w:pPr>
              <w:jc w:val="center"/>
              <w:rPr>
                <w:rFonts w:ascii="Times New Roman" w:hAnsi="Times New Roman" w:eastAsia="仿宋" w:cs="Times New Roman"/>
                <w:color w:val="auto"/>
                <w:lang w:val="zh-CN" w:eastAsia="zh-CN"/>
              </w:rPr>
            </w:pPr>
            <w:r>
              <w:rPr>
                <w:rFonts w:ascii="Times New Roman" w:hAnsi="Times New Roman" w:eastAsia="仿宋" w:cs="Times New Roman"/>
                <w:color w:val="auto"/>
                <w:lang w:val="zh-CN" w:eastAsia="zh-CN"/>
              </w:rPr>
              <w:t>《中华人民共和国政府采购法》第二十二条规定</w:t>
            </w:r>
          </w:p>
        </w:tc>
        <w:tc>
          <w:tcPr>
            <w:tcW w:w="3240" w:type="dxa"/>
            <w:vAlign w:val="center"/>
          </w:tcPr>
          <w:p w14:paraId="32563FE2">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1.具有独立承担民事责任能力</w:t>
            </w:r>
          </w:p>
        </w:tc>
        <w:tc>
          <w:tcPr>
            <w:tcW w:w="4271" w:type="dxa"/>
            <w:vAlign w:val="center"/>
          </w:tcPr>
          <w:p w14:paraId="31DD9C97">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1.供应商法人营业执照（副本）或事业单位法人证书（副本）或个体工商户营业执照或有效的自然人身份证明或社会团体法人登记证书（提供复印件）。</w:t>
            </w:r>
          </w:p>
          <w:p w14:paraId="1DCD1E61">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2.供应商法定代表人身份证明和法定代表人授权代表委托书。</w:t>
            </w:r>
          </w:p>
        </w:tc>
      </w:tr>
      <w:tr w14:paraId="58C7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9BF6EC5">
            <w:pPr>
              <w:jc w:val="center"/>
              <w:rPr>
                <w:rFonts w:ascii="Times New Roman" w:hAnsi="Times New Roman" w:eastAsia="仿宋" w:cs="Times New Roman"/>
                <w:color w:val="auto"/>
                <w:lang w:eastAsia="zh-CN"/>
              </w:rPr>
            </w:pPr>
          </w:p>
        </w:tc>
        <w:tc>
          <w:tcPr>
            <w:tcW w:w="885" w:type="dxa"/>
            <w:vMerge w:val="continue"/>
            <w:vAlign w:val="center"/>
          </w:tcPr>
          <w:p w14:paraId="00094693">
            <w:pPr>
              <w:rPr>
                <w:rFonts w:ascii="Times New Roman" w:hAnsi="Times New Roman" w:eastAsia="仿宋" w:cs="Times New Roman"/>
                <w:color w:val="auto"/>
                <w:lang w:val="zh-CN" w:eastAsia="zh-CN"/>
              </w:rPr>
            </w:pPr>
          </w:p>
        </w:tc>
        <w:tc>
          <w:tcPr>
            <w:tcW w:w="3240" w:type="dxa"/>
            <w:vAlign w:val="center"/>
          </w:tcPr>
          <w:p w14:paraId="7EE5220E">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2.</w:t>
            </w:r>
            <w:r>
              <w:rPr>
                <w:rFonts w:ascii="Times New Roman" w:hAnsi="Times New Roman" w:eastAsia="仿宋" w:cs="Times New Roman"/>
                <w:color w:val="auto"/>
                <w:lang w:eastAsia="zh-CN"/>
              </w:rPr>
              <w:t>具有良好的商业信誉和健全的财务会计制度</w:t>
            </w:r>
          </w:p>
        </w:tc>
        <w:tc>
          <w:tcPr>
            <w:tcW w:w="4271" w:type="dxa"/>
            <w:vMerge w:val="restart"/>
            <w:vAlign w:val="center"/>
          </w:tcPr>
          <w:p w14:paraId="37587D2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供应商提供“基本资格条件承诺函”（格式详见第七篇）</w:t>
            </w:r>
          </w:p>
        </w:tc>
      </w:tr>
      <w:tr w14:paraId="74A7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BF755E0">
            <w:pPr>
              <w:jc w:val="center"/>
              <w:rPr>
                <w:rFonts w:ascii="Times New Roman" w:hAnsi="Times New Roman" w:eastAsia="仿宋" w:cs="Times New Roman"/>
                <w:color w:val="auto"/>
                <w:lang w:eastAsia="zh-CN"/>
              </w:rPr>
            </w:pPr>
          </w:p>
        </w:tc>
        <w:tc>
          <w:tcPr>
            <w:tcW w:w="885" w:type="dxa"/>
            <w:vMerge w:val="continue"/>
            <w:vAlign w:val="center"/>
          </w:tcPr>
          <w:p w14:paraId="0AA658CE">
            <w:pPr>
              <w:rPr>
                <w:rFonts w:ascii="Times New Roman" w:hAnsi="Times New Roman" w:eastAsia="仿宋" w:cs="Times New Roman"/>
                <w:color w:val="auto"/>
                <w:lang w:val="zh-CN" w:eastAsia="zh-CN"/>
              </w:rPr>
            </w:pPr>
          </w:p>
        </w:tc>
        <w:tc>
          <w:tcPr>
            <w:tcW w:w="3240" w:type="dxa"/>
            <w:vAlign w:val="center"/>
          </w:tcPr>
          <w:p w14:paraId="2AA99601">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3.具有履行合同所必需的设备和专业技术能力</w:t>
            </w:r>
          </w:p>
        </w:tc>
        <w:tc>
          <w:tcPr>
            <w:tcW w:w="4271" w:type="dxa"/>
            <w:vMerge w:val="continue"/>
            <w:vAlign w:val="center"/>
          </w:tcPr>
          <w:p w14:paraId="46EC5C8F">
            <w:pPr>
              <w:jc w:val="both"/>
              <w:rPr>
                <w:rFonts w:ascii="Times New Roman" w:hAnsi="Times New Roman" w:eastAsia="仿宋" w:cs="Times New Roman"/>
                <w:color w:val="auto"/>
                <w:lang w:eastAsia="zh-CN"/>
              </w:rPr>
            </w:pPr>
          </w:p>
        </w:tc>
      </w:tr>
      <w:tr w14:paraId="611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1FC4ECB">
            <w:pPr>
              <w:jc w:val="center"/>
              <w:rPr>
                <w:rFonts w:ascii="Times New Roman" w:hAnsi="Times New Roman" w:eastAsia="仿宋" w:cs="Times New Roman"/>
                <w:color w:val="auto"/>
                <w:lang w:eastAsia="zh-CN"/>
              </w:rPr>
            </w:pPr>
          </w:p>
        </w:tc>
        <w:tc>
          <w:tcPr>
            <w:tcW w:w="885" w:type="dxa"/>
            <w:vMerge w:val="continue"/>
            <w:vAlign w:val="center"/>
          </w:tcPr>
          <w:p w14:paraId="2767A793">
            <w:pPr>
              <w:rPr>
                <w:rFonts w:ascii="Times New Roman" w:hAnsi="Times New Roman" w:eastAsia="仿宋" w:cs="Times New Roman"/>
                <w:color w:val="auto"/>
                <w:lang w:val="zh-CN" w:eastAsia="zh-CN"/>
              </w:rPr>
            </w:pPr>
          </w:p>
        </w:tc>
        <w:tc>
          <w:tcPr>
            <w:tcW w:w="3240" w:type="dxa"/>
            <w:vAlign w:val="center"/>
          </w:tcPr>
          <w:p w14:paraId="4E948679">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w:t>
            </w:r>
            <w:r>
              <w:rPr>
                <w:rFonts w:ascii="Times New Roman" w:hAnsi="Times New Roman" w:eastAsia="仿宋" w:cs="Times New Roman"/>
                <w:color w:val="auto"/>
                <w:lang w:val="zh-CN" w:eastAsia="zh-CN"/>
              </w:rPr>
              <w:t>4.有依法纳税和社会保障金的良好记录</w:t>
            </w:r>
          </w:p>
        </w:tc>
        <w:tc>
          <w:tcPr>
            <w:tcW w:w="4271" w:type="dxa"/>
            <w:vMerge w:val="continue"/>
            <w:vAlign w:val="center"/>
          </w:tcPr>
          <w:p w14:paraId="32F7A228">
            <w:pPr>
              <w:jc w:val="both"/>
              <w:rPr>
                <w:rFonts w:ascii="Times New Roman" w:hAnsi="Times New Roman" w:eastAsia="仿宋" w:cs="Times New Roman"/>
                <w:color w:val="auto"/>
                <w:lang w:eastAsia="zh-CN"/>
              </w:rPr>
            </w:pPr>
          </w:p>
        </w:tc>
      </w:tr>
      <w:tr w14:paraId="793C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DCA4932">
            <w:pPr>
              <w:jc w:val="center"/>
              <w:rPr>
                <w:rFonts w:ascii="Times New Roman" w:hAnsi="Times New Roman" w:eastAsia="仿宋" w:cs="Times New Roman"/>
                <w:color w:val="auto"/>
                <w:lang w:eastAsia="zh-CN"/>
              </w:rPr>
            </w:pPr>
          </w:p>
        </w:tc>
        <w:tc>
          <w:tcPr>
            <w:tcW w:w="885" w:type="dxa"/>
            <w:vMerge w:val="continue"/>
            <w:vAlign w:val="center"/>
          </w:tcPr>
          <w:p w14:paraId="0466F7E8">
            <w:pPr>
              <w:rPr>
                <w:rFonts w:ascii="Times New Roman" w:hAnsi="Times New Roman" w:eastAsia="仿宋" w:cs="Times New Roman"/>
                <w:color w:val="auto"/>
                <w:lang w:val="zh-CN" w:eastAsia="zh-CN"/>
              </w:rPr>
            </w:pPr>
          </w:p>
        </w:tc>
        <w:tc>
          <w:tcPr>
            <w:tcW w:w="3240" w:type="dxa"/>
            <w:vAlign w:val="center"/>
          </w:tcPr>
          <w:p w14:paraId="7D4132C1">
            <w:pPr>
              <w:rPr>
                <w:rFonts w:ascii="Times New Roman" w:hAnsi="Times New Roman" w:eastAsia="仿宋" w:cs="Times New Roman"/>
                <w:color w:val="auto"/>
                <w:lang w:val="zh-CN" w:eastAsia="zh-CN"/>
              </w:rPr>
            </w:pPr>
            <w:r>
              <w:rPr>
                <w:rFonts w:ascii="Times New Roman" w:hAnsi="Times New Roman" w:eastAsia="仿宋" w:cs="Times New Roman"/>
                <w:color w:val="auto"/>
                <w:lang w:eastAsia="zh-CN"/>
              </w:rPr>
              <w:t xml:space="preserve">    5.参加政府采购活动前3年内，在经营活动中没有重大违法记录</w:t>
            </w:r>
          </w:p>
        </w:tc>
        <w:tc>
          <w:tcPr>
            <w:tcW w:w="4271" w:type="dxa"/>
            <w:vMerge w:val="continue"/>
            <w:vAlign w:val="center"/>
          </w:tcPr>
          <w:p w14:paraId="49450E26">
            <w:pPr>
              <w:jc w:val="both"/>
              <w:rPr>
                <w:rFonts w:ascii="Times New Roman" w:hAnsi="Times New Roman" w:eastAsia="仿宋" w:cs="Times New Roman"/>
                <w:color w:val="auto"/>
                <w:lang w:eastAsia="zh-CN"/>
              </w:rPr>
            </w:pPr>
          </w:p>
        </w:tc>
      </w:tr>
      <w:tr w14:paraId="4958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26068922">
            <w:pPr>
              <w:jc w:val="center"/>
              <w:rPr>
                <w:rFonts w:ascii="Times New Roman" w:hAnsi="Times New Roman" w:eastAsia="仿宋" w:cs="Times New Roman"/>
                <w:color w:val="auto"/>
                <w:lang w:eastAsia="zh-CN"/>
              </w:rPr>
            </w:pPr>
          </w:p>
        </w:tc>
        <w:tc>
          <w:tcPr>
            <w:tcW w:w="885" w:type="dxa"/>
            <w:vMerge w:val="continue"/>
            <w:vAlign w:val="center"/>
          </w:tcPr>
          <w:p w14:paraId="63C7A103">
            <w:pPr>
              <w:rPr>
                <w:rFonts w:ascii="Times New Roman" w:hAnsi="Times New Roman" w:eastAsia="仿宋" w:cs="Times New Roman"/>
                <w:color w:val="auto"/>
                <w:lang w:eastAsia="zh-CN"/>
              </w:rPr>
            </w:pPr>
          </w:p>
        </w:tc>
        <w:tc>
          <w:tcPr>
            <w:tcW w:w="3240" w:type="dxa"/>
            <w:vAlign w:val="center"/>
          </w:tcPr>
          <w:p w14:paraId="7C78CAC0">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6.法律、行政法规规定的其他条件</w:t>
            </w:r>
          </w:p>
        </w:tc>
        <w:tc>
          <w:tcPr>
            <w:tcW w:w="4271" w:type="dxa"/>
            <w:vAlign w:val="center"/>
          </w:tcPr>
          <w:p w14:paraId="41071FB6">
            <w:pPr>
              <w:jc w:val="both"/>
              <w:rPr>
                <w:rFonts w:ascii="Times New Roman" w:hAnsi="Times New Roman" w:eastAsia="仿宋" w:cs="Times New Roman"/>
                <w:color w:val="auto"/>
                <w:lang w:eastAsia="zh-CN"/>
              </w:rPr>
            </w:pPr>
          </w:p>
        </w:tc>
      </w:tr>
      <w:tr w14:paraId="6D3B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5DBF6F59">
            <w:pPr>
              <w:jc w:val="center"/>
              <w:rPr>
                <w:rFonts w:ascii="Times New Roman" w:hAnsi="Times New Roman" w:eastAsia="仿宋" w:cs="Times New Roman"/>
                <w:color w:val="auto"/>
                <w:lang w:eastAsia="zh-CN"/>
              </w:rPr>
            </w:pPr>
          </w:p>
        </w:tc>
        <w:tc>
          <w:tcPr>
            <w:tcW w:w="885" w:type="dxa"/>
            <w:vMerge w:val="continue"/>
            <w:vAlign w:val="center"/>
          </w:tcPr>
          <w:p w14:paraId="141F96F5">
            <w:pPr>
              <w:rPr>
                <w:rFonts w:ascii="Times New Roman" w:hAnsi="Times New Roman" w:eastAsia="仿宋" w:cs="Times New Roman"/>
                <w:color w:val="auto"/>
                <w:lang w:eastAsia="zh-CN"/>
              </w:rPr>
            </w:pPr>
          </w:p>
        </w:tc>
        <w:tc>
          <w:tcPr>
            <w:tcW w:w="3240" w:type="dxa"/>
            <w:vAlign w:val="center"/>
          </w:tcPr>
          <w:p w14:paraId="1AEEDE84">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7.本项目的特定资格要求</w:t>
            </w:r>
          </w:p>
        </w:tc>
        <w:tc>
          <w:tcPr>
            <w:tcW w:w="4271" w:type="dxa"/>
            <w:vAlign w:val="center"/>
          </w:tcPr>
          <w:p w14:paraId="58DB398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按“第一篇三、供应商资格要求（三）本项目的特定资格要求”的要求提交（如果有）。</w:t>
            </w:r>
          </w:p>
        </w:tc>
      </w:tr>
      <w:tr w14:paraId="3271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2D333309">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w:t>
            </w:r>
          </w:p>
        </w:tc>
        <w:tc>
          <w:tcPr>
            <w:tcW w:w="4125" w:type="dxa"/>
            <w:gridSpan w:val="2"/>
            <w:vAlign w:val="center"/>
          </w:tcPr>
          <w:p w14:paraId="2039B41E">
            <w:pPr>
              <w:rPr>
                <w:rFonts w:ascii="Times New Roman" w:hAnsi="Times New Roman" w:eastAsia="仿宋" w:cs="Times New Roman"/>
                <w:color w:val="auto"/>
              </w:rPr>
            </w:pPr>
            <w:r>
              <w:rPr>
                <w:rFonts w:ascii="Times New Roman" w:hAnsi="Times New Roman" w:eastAsia="仿宋" w:cs="Times New Roman"/>
                <w:color w:val="auto"/>
              </w:rPr>
              <w:t>保证金</w:t>
            </w:r>
          </w:p>
        </w:tc>
        <w:tc>
          <w:tcPr>
            <w:tcW w:w="4271" w:type="dxa"/>
            <w:vAlign w:val="center"/>
          </w:tcPr>
          <w:p w14:paraId="60BFA030">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 xml:space="preserve">    按照</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要求足额支付响应保证金。</w:t>
            </w:r>
          </w:p>
        </w:tc>
      </w:tr>
    </w:tbl>
    <w:p w14:paraId="3DEEADE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2.实质性响应审查。</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小组应当对响应文件进行评审，并根据</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规定的采购程序、评定成交的标准等事项与实质性响应</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要求的供应商进行评审。未实质性响应</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的响应文件按无效处理。</w:t>
      </w:r>
    </w:p>
    <w:p w14:paraId="0893360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实质性响应审查内容如下：</w:t>
      </w:r>
    </w:p>
    <w:tbl>
      <w:tblPr>
        <w:tblStyle w:val="1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5704"/>
      </w:tblGrid>
      <w:tr w14:paraId="6214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128CE86A">
            <w:pPr>
              <w:jc w:val="center"/>
              <w:rPr>
                <w:rFonts w:ascii="Times New Roman" w:hAnsi="Times New Roman" w:eastAsia="仿宋" w:cs="Times New Roman"/>
                <w:color w:val="auto"/>
              </w:rPr>
            </w:pPr>
            <w:r>
              <w:rPr>
                <w:rFonts w:ascii="Times New Roman" w:hAnsi="Times New Roman" w:eastAsia="仿宋" w:cs="Times New Roman"/>
                <w:color w:val="auto"/>
              </w:rPr>
              <w:t>序号</w:t>
            </w:r>
          </w:p>
        </w:tc>
        <w:tc>
          <w:tcPr>
            <w:tcW w:w="2694" w:type="dxa"/>
            <w:vAlign w:val="center"/>
          </w:tcPr>
          <w:p w14:paraId="42BCE8A0">
            <w:pPr>
              <w:jc w:val="center"/>
              <w:rPr>
                <w:rFonts w:ascii="Times New Roman" w:hAnsi="Times New Roman" w:eastAsia="仿宋" w:cs="Times New Roman"/>
                <w:color w:val="auto"/>
              </w:rPr>
            </w:pPr>
            <w:r>
              <w:rPr>
                <w:rFonts w:ascii="Times New Roman" w:hAnsi="Times New Roman" w:eastAsia="仿宋" w:cs="Times New Roman"/>
                <w:color w:val="auto"/>
              </w:rPr>
              <w:t>审查因素</w:t>
            </w:r>
          </w:p>
        </w:tc>
        <w:tc>
          <w:tcPr>
            <w:tcW w:w="5704" w:type="dxa"/>
            <w:vAlign w:val="center"/>
          </w:tcPr>
          <w:p w14:paraId="64350BDA">
            <w:pPr>
              <w:jc w:val="center"/>
              <w:rPr>
                <w:rFonts w:ascii="Times New Roman" w:hAnsi="Times New Roman" w:eastAsia="仿宋" w:cs="Times New Roman"/>
                <w:color w:val="auto"/>
              </w:rPr>
            </w:pPr>
            <w:r>
              <w:rPr>
                <w:rFonts w:ascii="Times New Roman" w:hAnsi="Times New Roman" w:eastAsia="仿宋" w:cs="Times New Roman"/>
                <w:color w:val="auto"/>
              </w:rPr>
              <w:t>审查标准</w:t>
            </w:r>
          </w:p>
        </w:tc>
      </w:tr>
      <w:tr w14:paraId="0E10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C52EE50">
            <w:pPr>
              <w:jc w:val="center"/>
              <w:rPr>
                <w:rFonts w:ascii="Times New Roman" w:hAnsi="Times New Roman" w:eastAsia="仿宋" w:cs="Times New Roman"/>
                <w:color w:val="auto"/>
              </w:rPr>
            </w:pPr>
            <w:r>
              <w:rPr>
                <w:rFonts w:ascii="Times New Roman" w:hAnsi="Times New Roman" w:eastAsia="仿宋" w:cs="Times New Roman"/>
                <w:color w:val="auto"/>
              </w:rPr>
              <w:t>1</w:t>
            </w:r>
          </w:p>
        </w:tc>
        <w:tc>
          <w:tcPr>
            <w:tcW w:w="2694" w:type="dxa"/>
            <w:vAlign w:val="center"/>
          </w:tcPr>
          <w:p w14:paraId="248D63D5">
            <w:pPr>
              <w:jc w:val="both"/>
              <w:rPr>
                <w:rFonts w:ascii="Times New Roman" w:hAnsi="Times New Roman" w:eastAsia="仿宋" w:cs="Times New Roman"/>
                <w:color w:val="auto"/>
              </w:rPr>
            </w:pPr>
            <w:r>
              <w:rPr>
                <w:rFonts w:ascii="Times New Roman" w:hAnsi="Times New Roman" w:eastAsia="仿宋" w:cs="Times New Roman"/>
                <w:color w:val="auto"/>
              </w:rPr>
              <w:t>响应文件签署或盖章</w:t>
            </w:r>
          </w:p>
        </w:tc>
        <w:tc>
          <w:tcPr>
            <w:tcW w:w="5704" w:type="dxa"/>
            <w:vAlign w:val="center"/>
          </w:tcPr>
          <w:p w14:paraId="5F3BA404">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按“第七篇响应文件格式要求”要求签署或盖章。</w:t>
            </w:r>
          </w:p>
        </w:tc>
      </w:tr>
      <w:tr w14:paraId="32EB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18A11229">
            <w:pPr>
              <w:jc w:val="center"/>
              <w:rPr>
                <w:rFonts w:ascii="Times New Roman" w:hAnsi="Times New Roman" w:eastAsia="仿宋" w:cs="Times New Roman"/>
                <w:color w:val="auto"/>
                <w:lang w:eastAsia="zh-CN"/>
              </w:rPr>
            </w:pPr>
          </w:p>
        </w:tc>
        <w:tc>
          <w:tcPr>
            <w:tcW w:w="2694" w:type="dxa"/>
            <w:vAlign w:val="center"/>
          </w:tcPr>
          <w:p w14:paraId="76427733">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法定代表人身份证明及授权委托书</w:t>
            </w:r>
          </w:p>
        </w:tc>
        <w:tc>
          <w:tcPr>
            <w:tcW w:w="5704" w:type="dxa"/>
            <w:vAlign w:val="center"/>
          </w:tcPr>
          <w:p w14:paraId="6EE3C43A">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法定代表人身份证明及授权委托书有效，符合</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规定的格式，签署或盖章齐全。</w:t>
            </w:r>
          </w:p>
        </w:tc>
      </w:tr>
      <w:tr w14:paraId="236B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F7F77E7">
            <w:pPr>
              <w:jc w:val="center"/>
              <w:rPr>
                <w:rFonts w:ascii="Times New Roman" w:hAnsi="Times New Roman" w:eastAsia="仿宋" w:cs="Times New Roman"/>
                <w:color w:val="auto"/>
                <w:lang w:eastAsia="zh-CN"/>
              </w:rPr>
            </w:pPr>
          </w:p>
        </w:tc>
        <w:tc>
          <w:tcPr>
            <w:tcW w:w="2694" w:type="dxa"/>
            <w:vAlign w:val="center"/>
          </w:tcPr>
          <w:p w14:paraId="782797B4">
            <w:pPr>
              <w:jc w:val="both"/>
              <w:rPr>
                <w:rFonts w:ascii="Times New Roman" w:hAnsi="Times New Roman" w:eastAsia="仿宋" w:cs="Times New Roman"/>
                <w:color w:val="auto"/>
                <w:lang w:val="zh-CN"/>
              </w:rPr>
            </w:pPr>
            <w:r>
              <w:rPr>
                <w:rFonts w:ascii="Times New Roman" w:hAnsi="Times New Roman" w:eastAsia="仿宋" w:cs="Times New Roman"/>
                <w:color w:val="auto"/>
              </w:rPr>
              <w:t>响应</w:t>
            </w:r>
            <w:r>
              <w:rPr>
                <w:rFonts w:ascii="Times New Roman" w:hAnsi="Times New Roman" w:eastAsia="仿宋" w:cs="Times New Roman"/>
                <w:color w:val="auto"/>
                <w:lang w:val="zh-CN"/>
              </w:rPr>
              <w:t>方案</w:t>
            </w:r>
          </w:p>
        </w:tc>
        <w:tc>
          <w:tcPr>
            <w:tcW w:w="5704" w:type="dxa"/>
            <w:vAlign w:val="center"/>
          </w:tcPr>
          <w:p w14:paraId="21F3DCD6">
            <w:pPr>
              <w:jc w:val="both"/>
              <w:rPr>
                <w:rFonts w:ascii="Times New Roman" w:hAnsi="Times New Roman" w:eastAsia="仿宋" w:cs="Times New Roman"/>
                <w:color w:val="auto"/>
                <w:lang w:eastAsia="zh-CN"/>
              </w:rPr>
            </w:pPr>
            <w:r>
              <w:rPr>
                <w:rFonts w:ascii="Times New Roman" w:hAnsi="Times New Roman" w:eastAsia="仿宋" w:cs="Times New Roman"/>
                <w:color w:val="auto"/>
                <w:lang w:val="zh-CN" w:eastAsia="zh-CN"/>
              </w:rPr>
              <w:t>只能有一个</w:t>
            </w:r>
            <w:r>
              <w:rPr>
                <w:rFonts w:ascii="Times New Roman" w:hAnsi="Times New Roman" w:eastAsia="仿宋" w:cs="Times New Roman"/>
                <w:color w:val="auto"/>
                <w:lang w:eastAsia="zh-CN"/>
              </w:rPr>
              <w:t>响应</w:t>
            </w:r>
            <w:r>
              <w:rPr>
                <w:rFonts w:ascii="Times New Roman" w:hAnsi="Times New Roman" w:eastAsia="仿宋" w:cs="Times New Roman"/>
                <w:color w:val="auto"/>
                <w:lang w:val="zh-CN" w:eastAsia="zh-CN"/>
              </w:rPr>
              <w:t>方案。</w:t>
            </w:r>
          </w:p>
        </w:tc>
      </w:tr>
      <w:tr w14:paraId="161B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79E7100F">
            <w:pPr>
              <w:jc w:val="center"/>
              <w:rPr>
                <w:rFonts w:ascii="Times New Roman" w:hAnsi="Times New Roman" w:eastAsia="仿宋" w:cs="Times New Roman"/>
                <w:color w:val="auto"/>
                <w:lang w:eastAsia="zh-CN"/>
              </w:rPr>
            </w:pPr>
          </w:p>
        </w:tc>
        <w:tc>
          <w:tcPr>
            <w:tcW w:w="2694" w:type="dxa"/>
            <w:vAlign w:val="center"/>
          </w:tcPr>
          <w:p w14:paraId="306002C4">
            <w:pPr>
              <w:jc w:val="both"/>
              <w:rPr>
                <w:rFonts w:ascii="Times New Roman" w:hAnsi="Times New Roman" w:eastAsia="仿宋" w:cs="Times New Roman"/>
                <w:color w:val="auto"/>
                <w:lang w:val="zh-CN"/>
              </w:rPr>
            </w:pPr>
            <w:r>
              <w:rPr>
                <w:rFonts w:ascii="Times New Roman" w:hAnsi="Times New Roman" w:eastAsia="仿宋" w:cs="Times New Roman"/>
                <w:color w:val="auto"/>
              </w:rPr>
              <w:t>报价唯一</w:t>
            </w:r>
          </w:p>
        </w:tc>
        <w:tc>
          <w:tcPr>
            <w:tcW w:w="5704" w:type="dxa"/>
            <w:vAlign w:val="center"/>
          </w:tcPr>
          <w:p w14:paraId="6E56E1A8">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只能有一个有效报价，不得提交选择性报价。</w:t>
            </w:r>
          </w:p>
        </w:tc>
      </w:tr>
      <w:tr w14:paraId="44BD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45ED8907">
            <w:pPr>
              <w:jc w:val="center"/>
              <w:rPr>
                <w:rFonts w:ascii="Times New Roman" w:hAnsi="Times New Roman" w:eastAsia="仿宋" w:cs="Times New Roman"/>
                <w:color w:val="auto"/>
              </w:rPr>
            </w:pPr>
            <w:r>
              <w:rPr>
                <w:rFonts w:ascii="Times New Roman" w:hAnsi="Times New Roman" w:eastAsia="仿宋" w:cs="Times New Roman"/>
                <w:color w:val="auto"/>
              </w:rPr>
              <w:t>2</w:t>
            </w:r>
          </w:p>
        </w:tc>
        <w:tc>
          <w:tcPr>
            <w:tcW w:w="2694" w:type="dxa"/>
            <w:vAlign w:val="center"/>
          </w:tcPr>
          <w:p w14:paraId="44AEA384">
            <w:pPr>
              <w:jc w:val="both"/>
              <w:rPr>
                <w:rFonts w:ascii="Times New Roman" w:hAnsi="Times New Roman" w:eastAsia="仿宋" w:cs="Times New Roman"/>
                <w:color w:val="auto"/>
              </w:rPr>
            </w:pPr>
            <w:r>
              <w:rPr>
                <w:rFonts w:ascii="Times New Roman" w:hAnsi="Times New Roman" w:eastAsia="仿宋" w:cs="Times New Roman"/>
                <w:color w:val="auto"/>
              </w:rPr>
              <w:t>响应文件</w:t>
            </w:r>
            <w:r>
              <w:rPr>
                <w:rFonts w:ascii="Times New Roman" w:hAnsi="Times New Roman" w:eastAsia="仿宋" w:cs="Times New Roman"/>
                <w:color w:val="auto"/>
                <w:lang w:val="zh-CN"/>
              </w:rPr>
              <w:t>份数</w:t>
            </w:r>
          </w:p>
        </w:tc>
        <w:tc>
          <w:tcPr>
            <w:tcW w:w="5704" w:type="dxa"/>
            <w:vAlign w:val="center"/>
          </w:tcPr>
          <w:p w14:paraId="7AC3CDD9">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响应文件</w:t>
            </w:r>
            <w:r>
              <w:rPr>
                <w:rFonts w:ascii="Times New Roman" w:hAnsi="Times New Roman" w:eastAsia="仿宋" w:cs="Times New Roman"/>
                <w:color w:val="auto"/>
                <w:lang w:val="zh-CN" w:eastAsia="zh-CN"/>
              </w:rPr>
              <w:t>正、副本数量符合</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val="zh-CN" w:eastAsia="zh-CN"/>
              </w:rPr>
              <w:t>要求。</w:t>
            </w:r>
          </w:p>
        </w:tc>
      </w:tr>
      <w:tr w14:paraId="7288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22F43F3A">
            <w:pPr>
              <w:jc w:val="center"/>
              <w:rPr>
                <w:rFonts w:ascii="Times New Roman" w:hAnsi="Times New Roman" w:eastAsia="仿宋" w:cs="Times New Roman"/>
                <w:color w:val="auto"/>
              </w:rPr>
            </w:pPr>
            <w:r>
              <w:rPr>
                <w:rFonts w:ascii="Times New Roman" w:hAnsi="Times New Roman" w:eastAsia="仿宋" w:cs="Times New Roman"/>
                <w:color w:val="auto"/>
              </w:rPr>
              <w:t>3</w:t>
            </w:r>
          </w:p>
        </w:tc>
        <w:tc>
          <w:tcPr>
            <w:tcW w:w="2694" w:type="dxa"/>
            <w:vAlign w:val="center"/>
          </w:tcPr>
          <w:p w14:paraId="0F2A51F7">
            <w:pPr>
              <w:jc w:val="both"/>
              <w:rPr>
                <w:rFonts w:ascii="Times New Roman" w:hAnsi="Times New Roman" w:eastAsia="仿宋" w:cs="Times New Roman"/>
                <w:color w:val="auto"/>
              </w:rPr>
            </w:pPr>
            <w:r>
              <w:rPr>
                <w:rFonts w:ascii="Times New Roman" w:hAnsi="Times New Roman" w:eastAsia="仿宋" w:cs="Times New Roman"/>
                <w:color w:val="auto"/>
              </w:rPr>
              <w:t>响应文件内容</w:t>
            </w:r>
          </w:p>
        </w:tc>
        <w:tc>
          <w:tcPr>
            <w:tcW w:w="5704" w:type="dxa"/>
            <w:vAlign w:val="center"/>
          </w:tcPr>
          <w:p w14:paraId="6597258E">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对</w:t>
            </w:r>
            <w:r>
              <w:rPr>
                <w:rFonts w:hint="eastAsia" w:ascii="Times New Roman" w:hAnsi="Times New Roman" w:eastAsia="仿宋" w:cs="Times New Roman"/>
                <w:color w:val="auto"/>
                <w:lang w:eastAsia="zh-CN"/>
              </w:rPr>
              <w:t>竞争性比选文件</w:t>
            </w:r>
            <w:r>
              <w:rPr>
                <w:rFonts w:ascii="Times New Roman" w:hAnsi="Times New Roman" w:eastAsia="仿宋" w:cs="Times New Roman"/>
                <w:color w:val="auto"/>
                <w:lang w:eastAsia="zh-CN"/>
              </w:rPr>
              <w:t>第二篇、第三篇规定的</w:t>
            </w:r>
            <w:r>
              <w:rPr>
                <w:rFonts w:hint="eastAsia" w:ascii="Times New Roman" w:hAnsi="Times New Roman" w:eastAsia="仿宋" w:cs="Times New Roman"/>
                <w:color w:val="auto"/>
                <w:lang w:eastAsia="zh-CN"/>
              </w:rPr>
              <w:t>竞争性比选</w:t>
            </w:r>
            <w:r>
              <w:rPr>
                <w:rFonts w:ascii="Times New Roman" w:hAnsi="Times New Roman" w:eastAsia="仿宋" w:cs="Times New Roman"/>
                <w:color w:val="auto"/>
                <w:lang w:eastAsia="zh-CN"/>
              </w:rPr>
              <w:t>内容进行实质性响应。</w:t>
            </w:r>
          </w:p>
        </w:tc>
      </w:tr>
      <w:tr w14:paraId="7F5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7CB98D84">
            <w:pPr>
              <w:jc w:val="both"/>
              <w:rPr>
                <w:rFonts w:ascii="Times New Roman" w:hAnsi="Times New Roman" w:eastAsia="仿宋" w:cs="Times New Roman"/>
                <w:color w:val="auto"/>
                <w:lang w:eastAsia="zh-CN"/>
              </w:rPr>
            </w:pPr>
          </w:p>
        </w:tc>
        <w:tc>
          <w:tcPr>
            <w:tcW w:w="2694" w:type="dxa"/>
            <w:vAlign w:val="center"/>
          </w:tcPr>
          <w:p w14:paraId="7576FC5B">
            <w:pPr>
              <w:jc w:val="both"/>
              <w:rPr>
                <w:rFonts w:ascii="Times New Roman" w:hAnsi="Times New Roman" w:eastAsia="仿宋" w:cs="Times New Roman"/>
                <w:color w:val="auto"/>
              </w:rPr>
            </w:pPr>
            <w:r>
              <w:rPr>
                <w:rFonts w:hint="eastAsia" w:ascii="Times New Roman" w:hAnsi="Times New Roman" w:eastAsia="仿宋" w:cs="Times New Roman"/>
                <w:color w:val="auto"/>
                <w:lang w:eastAsia="zh-CN"/>
              </w:rPr>
              <w:t>竞争性比选</w:t>
            </w:r>
            <w:r>
              <w:rPr>
                <w:rFonts w:ascii="Times New Roman" w:hAnsi="Times New Roman" w:eastAsia="仿宋" w:cs="Times New Roman"/>
                <w:color w:val="auto"/>
              </w:rPr>
              <w:t>有效期</w:t>
            </w:r>
          </w:p>
        </w:tc>
        <w:tc>
          <w:tcPr>
            <w:tcW w:w="5704" w:type="dxa"/>
            <w:vAlign w:val="center"/>
          </w:tcPr>
          <w:p w14:paraId="70BC358D">
            <w:pPr>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响应文件及有关承诺文件有效期为提交响应文件截止时间起90天。</w:t>
            </w:r>
          </w:p>
        </w:tc>
      </w:tr>
    </w:tbl>
    <w:p w14:paraId="0994BE3F">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531AC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小组应当将其作为无效响应处理。</w:t>
      </w:r>
    </w:p>
    <w:p w14:paraId="51371E5B">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A946FA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（三）评审的依据为</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和响应文件（含有效的补充文件）。</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小组判断响应文件对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的响应，仅基于响应文件本身而不靠外部证据。</w:t>
      </w:r>
      <w:bookmarkStart w:id="63" w:name="_Toc11713"/>
      <w:bookmarkStart w:id="64" w:name="_Toc106034791"/>
      <w:bookmarkStart w:id="65" w:name="_Toc5149"/>
      <w:bookmarkStart w:id="66" w:name="_Toc30639"/>
      <w:bookmarkStart w:id="67" w:name="_Toc64732013"/>
      <w:bookmarkStart w:id="68" w:name="_Toc65660351"/>
    </w:p>
    <w:p w14:paraId="3B8B8D3E">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二、评定成交的标准</w:t>
      </w:r>
      <w:bookmarkEnd w:id="63"/>
      <w:bookmarkEnd w:id="64"/>
      <w:bookmarkEnd w:id="65"/>
      <w:bookmarkEnd w:id="66"/>
      <w:bookmarkEnd w:id="67"/>
      <w:bookmarkEnd w:id="68"/>
    </w:p>
    <w:p w14:paraId="73B652D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本项目采用</w:t>
      </w:r>
      <w:r>
        <w:rPr>
          <w:rFonts w:hint="eastAsia" w:ascii="Times New Roman" w:hAnsi="Times New Roman" w:eastAsia="仿宋" w:cs="Times New Roman"/>
          <w:b/>
          <w:bCs/>
          <w:color w:val="auto"/>
          <w:sz w:val="24"/>
          <w:szCs w:val="24"/>
          <w:u w:val="single"/>
          <w:lang w:val="en-US" w:eastAsia="zh-CN"/>
        </w:rPr>
        <w:t>经评审的</w:t>
      </w:r>
      <w:r>
        <w:rPr>
          <w:rFonts w:hint="eastAsia" w:ascii="Times New Roman" w:hAnsi="Times New Roman" w:eastAsia="仿宋" w:cs="Times New Roman"/>
          <w:b/>
          <w:bCs/>
          <w:color w:val="auto"/>
          <w:sz w:val="24"/>
          <w:szCs w:val="24"/>
          <w:u w:val="single"/>
          <w:lang w:eastAsia="zh-CN"/>
        </w:rPr>
        <w:t>最低价法</w:t>
      </w:r>
      <w:r>
        <w:rPr>
          <w:rFonts w:hint="eastAsia" w:ascii="Times New Roman" w:hAnsi="Times New Roman" w:eastAsia="仿宋" w:cs="Times New Roman"/>
          <w:color w:val="auto"/>
          <w:sz w:val="24"/>
          <w:szCs w:val="24"/>
          <w:lang w:eastAsia="zh-CN"/>
        </w:rPr>
        <w:t>。</w:t>
      </w:r>
    </w:p>
    <w:p w14:paraId="34961C90">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小组将依照本</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相关规定对</w:t>
      </w:r>
      <w:r>
        <w:rPr>
          <w:rFonts w:hint="eastAsia" w:ascii="Times New Roman" w:hAnsi="Times New Roman" w:eastAsia="仿宋" w:cs="Times New Roman"/>
          <w:color w:val="auto"/>
          <w:sz w:val="24"/>
          <w:szCs w:val="24"/>
          <w:lang w:eastAsia="zh-CN"/>
        </w:rPr>
        <w:t>符合</w:t>
      </w:r>
      <w:r>
        <w:rPr>
          <w:rFonts w:ascii="Times New Roman" w:hAnsi="Times New Roman" w:eastAsia="仿宋" w:cs="Times New Roman"/>
          <w:color w:val="auto"/>
          <w:sz w:val="24"/>
          <w:szCs w:val="24"/>
          <w:lang w:eastAsia="zh-CN"/>
        </w:rPr>
        <w:t>资格性审查</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技术和商务均能满足</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文件实质性要求的供应商所提交的报价进行评审，价格按照由低到高的顺序提出3名成交候选人。</w:t>
      </w:r>
    </w:p>
    <w:p w14:paraId="7DD29B5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（二）成交价格=成交供应商的报价。</w:t>
      </w:r>
      <w:bookmarkStart w:id="69" w:name="_Toc19473"/>
      <w:bookmarkStart w:id="70" w:name="_Toc29113"/>
      <w:bookmarkStart w:id="71" w:name="_Toc65660352"/>
      <w:bookmarkStart w:id="72" w:name="_Toc12644"/>
      <w:bookmarkStart w:id="73" w:name="_Toc106034792"/>
    </w:p>
    <w:p w14:paraId="139E99C6">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三、无效</w:t>
      </w:r>
      <w:bookmarkEnd w:id="69"/>
      <w:bookmarkEnd w:id="70"/>
      <w:bookmarkEnd w:id="71"/>
      <w:bookmarkEnd w:id="72"/>
      <w:bookmarkEnd w:id="73"/>
      <w:r>
        <w:rPr>
          <w:rFonts w:hint="eastAsia" w:ascii="Times New Roman" w:hAnsi="Times New Roman" w:eastAsia="黑体" w:cs="Times New Roman"/>
          <w:b/>
          <w:bCs/>
          <w:color w:val="auto"/>
          <w:sz w:val="24"/>
          <w:szCs w:val="24"/>
          <w:lang w:eastAsia="zh-CN"/>
        </w:rPr>
        <w:t>响应</w:t>
      </w:r>
    </w:p>
    <w:p w14:paraId="467DFEE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供应商发生以下条款情况之一者，视为无效</w:t>
      </w:r>
      <w:r>
        <w:rPr>
          <w:rFonts w:hint="eastAsia" w:ascii="Times New Roman" w:hAnsi="Times New Roman" w:eastAsia="仿宋" w:cs="Times New Roman"/>
          <w:color w:val="auto"/>
          <w:sz w:val="24"/>
          <w:szCs w:val="24"/>
          <w:lang w:eastAsia="zh-CN"/>
        </w:rPr>
        <w:t>响应</w:t>
      </w:r>
      <w:r>
        <w:rPr>
          <w:rFonts w:ascii="Times New Roman" w:hAnsi="Times New Roman" w:eastAsia="仿宋" w:cs="Times New Roman"/>
          <w:color w:val="auto"/>
          <w:sz w:val="24"/>
          <w:szCs w:val="24"/>
          <w:lang w:eastAsia="zh-CN"/>
        </w:rPr>
        <w:t>：</w:t>
      </w:r>
    </w:p>
    <w:p w14:paraId="6AA8795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（一）供应商不符合规定的资格条件的；</w:t>
      </w:r>
    </w:p>
    <w:p w14:paraId="5C44233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（二）供应商未通过实质性响应审查的；</w:t>
      </w:r>
    </w:p>
    <w:p w14:paraId="3D081E05">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（三）供应商未在</w:t>
      </w:r>
      <w:r>
        <w:rPr>
          <w:rFonts w:hint="eastAsia" w:ascii="Times New Roman" w:hAnsi="Times New Roman" w:eastAsia="仿宋" w:cs="Times New Roman"/>
          <w:color w:val="auto"/>
          <w:sz w:val="24"/>
          <w:szCs w:val="24"/>
          <w:lang w:val="en-US" w:eastAsia="zh-CN"/>
        </w:rPr>
        <w:t>响应</w:t>
      </w:r>
      <w:r>
        <w:rPr>
          <w:rFonts w:ascii="Times New Roman" w:hAnsi="Times New Roman" w:eastAsia="仿宋" w:cs="Times New Roman"/>
          <w:color w:val="auto"/>
          <w:sz w:val="24"/>
          <w:szCs w:val="24"/>
          <w:lang w:eastAsia="zh-CN"/>
        </w:rPr>
        <w:t>保证金到账截止时间前足额支付保证金的；</w:t>
      </w:r>
    </w:p>
    <w:p w14:paraId="7B74774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（四）供应商所提交的响应文件未按“第七篇  响应文件格式要求”要求签署或盖章的；</w:t>
      </w:r>
    </w:p>
    <w:p w14:paraId="39146012">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五</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供应商所提交的响应文件未按“第</w:t>
      </w:r>
      <w:r>
        <w:rPr>
          <w:rFonts w:hint="eastAsia" w:ascii="Times New Roman" w:hAnsi="Times New Roman" w:eastAsia="仿宋" w:cs="Times New Roman"/>
          <w:color w:val="auto"/>
          <w:sz w:val="24"/>
          <w:szCs w:val="24"/>
          <w:lang w:val="en-US" w:eastAsia="zh-CN"/>
        </w:rPr>
        <w:t>五</w:t>
      </w:r>
      <w:r>
        <w:rPr>
          <w:rFonts w:ascii="Times New Roman" w:hAnsi="Times New Roman" w:eastAsia="仿宋" w:cs="Times New Roman"/>
          <w:color w:val="auto"/>
          <w:sz w:val="24"/>
          <w:szCs w:val="24"/>
          <w:lang w:eastAsia="zh-CN"/>
        </w:rPr>
        <w:t xml:space="preserve">篇  </w:t>
      </w:r>
      <w:r>
        <w:rPr>
          <w:rFonts w:hint="eastAsia" w:ascii="Times New Roman" w:hAnsi="Times New Roman" w:eastAsia="仿宋" w:cs="Times New Roman"/>
          <w:color w:val="auto"/>
          <w:sz w:val="24"/>
          <w:szCs w:val="24"/>
          <w:lang w:val="en-US" w:eastAsia="zh-CN"/>
        </w:rPr>
        <w:t>供应商须知</w:t>
      </w:r>
      <w:r>
        <w:rPr>
          <w:rFonts w:ascii="Times New Roman" w:hAnsi="Times New Roman" w:eastAsia="仿宋" w:cs="Times New Roman"/>
          <w:color w:val="auto"/>
          <w:sz w:val="24"/>
          <w:szCs w:val="24"/>
          <w:lang w:eastAsia="zh-CN"/>
        </w:rPr>
        <w:t>”要求</w:t>
      </w:r>
      <w:r>
        <w:rPr>
          <w:rFonts w:hint="eastAsia" w:ascii="Times New Roman" w:hAnsi="Times New Roman" w:eastAsia="仿宋" w:cs="Times New Roman"/>
          <w:color w:val="auto"/>
          <w:sz w:val="24"/>
          <w:szCs w:val="24"/>
          <w:lang w:val="en-US" w:eastAsia="zh-CN"/>
        </w:rPr>
        <w:t>执行的</w:t>
      </w:r>
      <w:r>
        <w:rPr>
          <w:rFonts w:ascii="Times New Roman" w:hAnsi="Times New Roman" w:eastAsia="仿宋" w:cs="Times New Roman"/>
          <w:color w:val="auto"/>
          <w:sz w:val="24"/>
          <w:szCs w:val="24"/>
          <w:lang w:eastAsia="zh-CN"/>
        </w:rPr>
        <w:t>；</w:t>
      </w:r>
    </w:p>
    <w:p w14:paraId="3E10303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六</w:t>
      </w:r>
      <w:r>
        <w:rPr>
          <w:rFonts w:ascii="Times New Roman" w:hAnsi="Times New Roman" w:eastAsia="仿宋" w:cs="Times New Roman"/>
          <w:color w:val="auto"/>
          <w:sz w:val="24"/>
          <w:szCs w:val="24"/>
          <w:lang w:eastAsia="zh-CN"/>
        </w:rPr>
        <w:t>）供应商的报价超过最高限价的；</w:t>
      </w:r>
    </w:p>
    <w:p w14:paraId="0E157C2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七</w:t>
      </w:r>
      <w:r>
        <w:rPr>
          <w:rFonts w:ascii="Times New Roman" w:hAnsi="Times New Roman" w:eastAsia="仿宋" w:cs="Times New Roman"/>
          <w:color w:val="auto"/>
          <w:sz w:val="24"/>
          <w:szCs w:val="24"/>
          <w:lang w:eastAsia="zh-CN"/>
        </w:rPr>
        <w:t>）供应商不接受</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小组修正后的价格的；</w:t>
      </w:r>
    </w:p>
    <w:p w14:paraId="6949A2E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八</w:t>
      </w:r>
      <w:r>
        <w:rPr>
          <w:rFonts w:ascii="Times New Roman" w:hAnsi="Times New Roman" w:eastAsia="仿宋" w:cs="Times New Roman"/>
          <w:color w:val="auto"/>
          <w:sz w:val="24"/>
          <w:szCs w:val="24"/>
          <w:lang w:eastAsia="zh-CN"/>
        </w:rPr>
        <w:t>）单位负责人为同一人或者存在直接控股、管理关系的不同供应商，参加同一合同项（包）报价的；</w:t>
      </w:r>
    </w:p>
    <w:p w14:paraId="48FBB94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九</w:t>
      </w:r>
      <w:r>
        <w:rPr>
          <w:rFonts w:ascii="Times New Roman" w:hAnsi="Times New Roman" w:eastAsia="仿宋" w:cs="Times New Roman"/>
          <w:color w:val="auto"/>
          <w:sz w:val="24"/>
          <w:szCs w:val="24"/>
          <w:lang w:eastAsia="zh-CN"/>
        </w:rPr>
        <w:t>）供应商响应文件内容有与国家现行法律法规相违背的内容，或附有采购人无法接受条件的；</w:t>
      </w:r>
    </w:p>
    <w:p w14:paraId="7C00DE6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十</w:t>
      </w:r>
      <w:r>
        <w:rPr>
          <w:rFonts w:ascii="Times New Roman" w:hAnsi="Times New Roman" w:eastAsia="仿宋" w:cs="Times New Roman"/>
          <w:color w:val="auto"/>
          <w:sz w:val="24"/>
          <w:szCs w:val="24"/>
          <w:lang w:eastAsia="zh-CN"/>
        </w:rPr>
        <w:t>）法律、法规和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规定的其他无效情形。</w:t>
      </w:r>
      <w:bookmarkStart w:id="74" w:name="_Toc29298"/>
      <w:bookmarkStart w:id="75" w:name="_Toc65660353"/>
      <w:bookmarkStart w:id="76" w:name="_Toc106034793"/>
      <w:bookmarkStart w:id="77" w:name="_Toc22716"/>
      <w:bookmarkStart w:id="78" w:name="_Toc28422"/>
    </w:p>
    <w:p w14:paraId="48619D17">
      <w:pPr>
        <w:spacing w:line="360" w:lineRule="auto"/>
        <w:ind w:firstLine="480"/>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四、采购终止</w:t>
      </w:r>
      <w:bookmarkEnd w:id="74"/>
      <w:bookmarkEnd w:id="75"/>
      <w:bookmarkEnd w:id="76"/>
      <w:bookmarkEnd w:id="77"/>
      <w:bookmarkEnd w:id="78"/>
    </w:p>
    <w:p w14:paraId="63D45CA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出现下列情形之一的，采购人应当终止</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采购活动，发布项目终止公告并说明原因，重新开展采购活动：</w:t>
      </w:r>
    </w:p>
    <w:p w14:paraId="64F4A3E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（一）因情况变化，不再符合规定的</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采购方式适用情形的；</w:t>
      </w:r>
    </w:p>
    <w:p w14:paraId="1840B833">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（二）出现影响采购公正的违法、违规行为的；</w:t>
      </w:r>
    </w:p>
    <w:p w14:paraId="05E749D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（三）在采购过程中符合竞争</w:t>
      </w:r>
      <w:r>
        <w:rPr>
          <w:rFonts w:hint="eastAsia" w:ascii="Times New Roman" w:hAnsi="Times New Roman" w:eastAsia="仿宋" w:cs="Times New Roman"/>
          <w:color w:val="auto"/>
          <w:sz w:val="24"/>
          <w:szCs w:val="24"/>
          <w:lang w:eastAsia="zh-CN"/>
        </w:rPr>
        <w:t>性比选文件</w:t>
      </w:r>
      <w:r>
        <w:rPr>
          <w:rFonts w:ascii="Times New Roman" w:hAnsi="Times New Roman" w:eastAsia="仿宋" w:cs="Times New Roman"/>
          <w:color w:val="auto"/>
          <w:sz w:val="24"/>
          <w:szCs w:val="24"/>
          <w:lang w:eastAsia="zh-CN"/>
        </w:rPr>
        <w:t>要求的供应商不足3家的。</w:t>
      </w:r>
      <w:bookmarkStart w:id="79" w:name="_Toc10768"/>
      <w:bookmarkStart w:id="80" w:name="_Toc8916"/>
      <w:bookmarkStart w:id="81" w:name="_Toc106034794"/>
      <w:bookmarkStart w:id="82" w:name="_Toc20055"/>
      <w:bookmarkStart w:id="83" w:name="_Toc65660354"/>
    </w:p>
    <w:p w14:paraId="15091B6C">
      <w:pPr>
        <w:spacing w:line="360" w:lineRule="auto"/>
        <w:ind w:firstLine="480"/>
        <w:jc w:val="both"/>
        <w:rPr>
          <w:rFonts w:ascii="Times New Roman" w:hAnsi="Times New Roman" w:eastAsia="仿宋" w:cs="Times New Roman"/>
          <w:color w:val="auto"/>
          <w:sz w:val="24"/>
          <w:szCs w:val="24"/>
          <w:lang w:eastAsia="zh-CN"/>
        </w:rPr>
      </w:pPr>
    </w:p>
    <w:p w14:paraId="196DAEF1">
      <w:pPr>
        <w:spacing w:line="360" w:lineRule="auto"/>
        <w:ind w:firstLine="480"/>
        <w:jc w:val="both"/>
        <w:rPr>
          <w:rFonts w:ascii="Times New Roman" w:hAnsi="Times New Roman" w:eastAsia="仿宋" w:cs="Times New Roman"/>
          <w:color w:val="auto"/>
          <w:sz w:val="24"/>
          <w:szCs w:val="24"/>
          <w:lang w:eastAsia="zh-CN"/>
        </w:rPr>
      </w:pPr>
    </w:p>
    <w:p w14:paraId="1FDD0994">
      <w:pPr>
        <w:spacing w:line="360" w:lineRule="auto"/>
        <w:ind w:firstLine="480"/>
        <w:jc w:val="both"/>
        <w:rPr>
          <w:rFonts w:ascii="Times New Roman" w:hAnsi="Times New Roman" w:eastAsia="仿宋" w:cs="Times New Roman"/>
          <w:color w:val="auto"/>
          <w:sz w:val="24"/>
          <w:szCs w:val="24"/>
          <w:lang w:eastAsia="zh-CN"/>
        </w:rPr>
      </w:pPr>
    </w:p>
    <w:p w14:paraId="7DC524D0">
      <w:pPr>
        <w:spacing w:line="360" w:lineRule="auto"/>
        <w:ind w:firstLine="480"/>
        <w:jc w:val="both"/>
        <w:rPr>
          <w:rFonts w:ascii="Times New Roman" w:hAnsi="Times New Roman" w:eastAsia="仿宋" w:cs="Times New Roman"/>
          <w:color w:val="auto"/>
          <w:sz w:val="24"/>
          <w:szCs w:val="24"/>
          <w:lang w:eastAsia="zh-CN"/>
        </w:rPr>
      </w:pPr>
    </w:p>
    <w:p w14:paraId="0F224CA8">
      <w:pPr>
        <w:spacing w:line="360" w:lineRule="auto"/>
        <w:ind w:firstLine="480"/>
        <w:jc w:val="both"/>
        <w:rPr>
          <w:rFonts w:ascii="Times New Roman" w:hAnsi="Times New Roman" w:eastAsia="仿宋" w:cs="Times New Roman"/>
          <w:color w:val="auto"/>
          <w:sz w:val="24"/>
          <w:szCs w:val="24"/>
          <w:lang w:eastAsia="zh-CN"/>
        </w:rPr>
      </w:pPr>
    </w:p>
    <w:p w14:paraId="31E37DB5">
      <w:pPr>
        <w:spacing w:line="360" w:lineRule="auto"/>
        <w:ind w:firstLine="480"/>
        <w:jc w:val="both"/>
        <w:rPr>
          <w:rFonts w:ascii="Times New Roman" w:hAnsi="Times New Roman" w:eastAsia="仿宋" w:cs="Times New Roman"/>
          <w:color w:val="auto"/>
          <w:sz w:val="24"/>
          <w:szCs w:val="24"/>
          <w:lang w:eastAsia="zh-CN"/>
        </w:rPr>
      </w:pPr>
    </w:p>
    <w:p w14:paraId="7F5A56D3">
      <w:pPr>
        <w:spacing w:line="360" w:lineRule="auto"/>
        <w:ind w:firstLine="480"/>
        <w:jc w:val="both"/>
        <w:rPr>
          <w:rFonts w:ascii="Times New Roman" w:hAnsi="Times New Roman" w:eastAsia="仿宋" w:cs="Times New Roman"/>
          <w:color w:val="auto"/>
          <w:sz w:val="24"/>
          <w:szCs w:val="24"/>
          <w:lang w:eastAsia="zh-CN"/>
        </w:rPr>
      </w:pPr>
    </w:p>
    <w:p w14:paraId="47C1E732">
      <w:pPr>
        <w:spacing w:line="360" w:lineRule="auto"/>
        <w:ind w:firstLine="480"/>
        <w:jc w:val="both"/>
        <w:rPr>
          <w:rFonts w:ascii="Times New Roman" w:hAnsi="Times New Roman" w:eastAsia="仿宋" w:cs="Times New Roman"/>
          <w:color w:val="auto"/>
          <w:sz w:val="24"/>
          <w:szCs w:val="24"/>
          <w:lang w:eastAsia="zh-CN"/>
        </w:rPr>
      </w:pPr>
    </w:p>
    <w:p w14:paraId="74CF3D75">
      <w:pP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br w:type="page"/>
      </w:r>
    </w:p>
    <w:p w14:paraId="4D75989B">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第五篇  供应商须知</w:t>
      </w:r>
      <w:bookmarkEnd w:id="79"/>
      <w:bookmarkEnd w:id="80"/>
      <w:bookmarkEnd w:id="81"/>
      <w:bookmarkEnd w:id="82"/>
      <w:bookmarkEnd w:id="83"/>
    </w:p>
    <w:p w14:paraId="336C49C0">
      <w:pPr>
        <w:spacing w:line="360" w:lineRule="auto"/>
        <w:ind w:firstLine="481"/>
        <w:jc w:val="both"/>
        <w:rPr>
          <w:rFonts w:ascii="Times New Roman" w:hAnsi="Times New Roman" w:eastAsia="黑体" w:cs="Times New Roman"/>
          <w:b/>
          <w:bCs/>
          <w:color w:val="auto"/>
          <w:sz w:val="24"/>
          <w:szCs w:val="24"/>
          <w:lang w:eastAsia="zh-CN"/>
        </w:rPr>
      </w:pPr>
      <w:bookmarkStart w:id="84" w:name="_Toc16524"/>
      <w:bookmarkStart w:id="85" w:name="_Toc106034795"/>
      <w:bookmarkStart w:id="86" w:name="_Toc5290"/>
      <w:bookmarkStart w:id="87" w:name="_Toc2864"/>
      <w:bookmarkStart w:id="88" w:name="_Toc65660355"/>
      <w:r>
        <w:rPr>
          <w:rFonts w:ascii="Times New Roman" w:hAnsi="Times New Roman" w:eastAsia="黑体" w:cs="Times New Roman"/>
          <w:b/>
          <w:bCs/>
          <w:color w:val="auto"/>
          <w:sz w:val="24"/>
          <w:szCs w:val="24"/>
          <w:lang w:eastAsia="zh-CN"/>
        </w:rPr>
        <w:t>一、</w:t>
      </w:r>
      <w:r>
        <w:rPr>
          <w:rFonts w:hint="eastAsia" w:ascii="Times New Roman" w:hAnsi="Times New Roman" w:eastAsia="黑体" w:cs="Times New Roman"/>
          <w:b/>
          <w:bCs/>
          <w:color w:val="auto"/>
          <w:sz w:val="24"/>
          <w:szCs w:val="24"/>
          <w:lang w:eastAsia="zh-CN"/>
        </w:rPr>
        <w:t>比选</w:t>
      </w:r>
      <w:r>
        <w:rPr>
          <w:rFonts w:ascii="Times New Roman" w:hAnsi="Times New Roman" w:eastAsia="黑体" w:cs="Times New Roman"/>
          <w:b/>
          <w:bCs/>
          <w:color w:val="auto"/>
          <w:sz w:val="24"/>
          <w:szCs w:val="24"/>
          <w:lang w:eastAsia="zh-CN"/>
        </w:rPr>
        <w:t>费用</w:t>
      </w:r>
      <w:bookmarkEnd w:id="84"/>
      <w:bookmarkEnd w:id="85"/>
      <w:bookmarkEnd w:id="86"/>
      <w:bookmarkEnd w:id="87"/>
      <w:bookmarkEnd w:id="88"/>
    </w:p>
    <w:p w14:paraId="5C56239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参与报价的供应商应承担其编制响应文件与递交响应文件所涉及的一切费用，不论</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结果如何，采购人在任何情况下无义务也无责任承担这些费用。</w:t>
      </w:r>
      <w:bookmarkStart w:id="89" w:name="_Toc5915"/>
      <w:bookmarkStart w:id="90" w:name="_Toc65660356"/>
      <w:bookmarkStart w:id="91" w:name="_Toc31070"/>
      <w:bookmarkStart w:id="92" w:name="_Toc106034796"/>
      <w:bookmarkStart w:id="93" w:name="_Toc31739"/>
    </w:p>
    <w:p w14:paraId="6FA1283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二、</w:t>
      </w:r>
      <w:bookmarkEnd w:id="89"/>
      <w:bookmarkEnd w:id="90"/>
      <w:bookmarkEnd w:id="91"/>
      <w:bookmarkEnd w:id="92"/>
      <w:bookmarkEnd w:id="93"/>
      <w:r>
        <w:rPr>
          <w:rFonts w:hint="eastAsia" w:ascii="Times New Roman" w:hAnsi="Times New Roman" w:eastAsia="黑体" w:cs="Times New Roman"/>
          <w:b/>
          <w:bCs/>
          <w:color w:val="auto"/>
          <w:sz w:val="24"/>
          <w:szCs w:val="24"/>
          <w:lang w:eastAsia="zh-CN"/>
        </w:rPr>
        <w:t>比选文件</w:t>
      </w:r>
    </w:p>
    <w:p w14:paraId="149061D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由采购邀请书、项目技术需求、项目商务需求、采购程序、评定成交的标准、无效报价及采购终止、供应商须知、合同条款、响应文件格式要求七部分组成。</w:t>
      </w:r>
    </w:p>
    <w:p w14:paraId="0206D7E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（二）采购人所作的一切有效的书面通知、修改及补充，都是</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不可分割的部分。</w:t>
      </w:r>
      <w:bookmarkStart w:id="94" w:name="_Toc9532"/>
      <w:bookmarkStart w:id="95" w:name="_Toc1922"/>
      <w:bookmarkStart w:id="96" w:name="_Toc65660357"/>
      <w:bookmarkStart w:id="97" w:name="_Toc3061"/>
      <w:bookmarkStart w:id="98" w:name="_Toc106034797"/>
    </w:p>
    <w:p w14:paraId="5B95FF2D">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三、报价要求</w:t>
      </w:r>
      <w:bookmarkEnd w:id="94"/>
      <w:bookmarkEnd w:id="95"/>
      <w:bookmarkEnd w:id="96"/>
      <w:bookmarkEnd w:id="97"/>
      <w:bookmarkEnd w:id="98"/>
    </w:p>
    <w:p w14:paraId="246B530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（一）响应文件</w:t>
      </w:r>
    </w:p>
    <w:p w14:paraId="445C9FFD">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供应商应当按照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的要求编制响应文件，并对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提出的要求和条件作出实质性响应，响应文件原则上采用软面订本。</w:t>
      </w:r>
    </w:p>
    <w:p w14:paraId="3072771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1.响应文件组成</w:t>
      </w:r>
    </w:p>
    <w:p w14:paraId="324F807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响应文件由“第七篇 响应文件格式要求”规定的部分和供应商所作的一切有效补充、修改和承诺等文件组成，供应商应按照“第七篇 响应文件格式”规定进行编写和装订，也可在此基础上对表格进行扩展，未规定格式的由供应商自定格式。</w:t>
      </w:r>
    </w:p>
    <w:p w14:paraId="2EFFA67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2.报价有效期：响应文件及有关承诺文件有效期为提交文件截止时间起90天。</w:t>
      </w:r>
    </w:p>
    <w:p w14:paraId="20A262F9">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（二）响应保证金</w:t>
      </w:r>
    </w:p>
    <w:p w14:paraId="10BBBD5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1.供应商提交保证金金额和方式详见“第一篇 五、</w:t>
      </w:r>
      <w:r>
        <w:rPr>
          <w:rFonts w:hint="eastAsia" w:ascii="Times New Roman" w:hAnsi="Times New Roman" w:eastAsia="仿宋" w:cs="Times New Roman"/>
          <w:color w:val="auto"/>
          <w:sz w:val="24"/>
          <w:szCs w:val="24"/>
          <w:lang w:val="en-US" w:eastAsia="zh-CN"/>
        </w:rPr>
        <w:t>响应</w:t>
      </w:r>
      <w:r>
        <w:rPr>
          <w:rFonts w:ascii="Times New Roman" w:hAnsi="Times New Roman" w:eastAsia="仿宋" w:cs="Times New Roman"/>
          <w:color w:val="auto"/>
          <w:sz w:val="24"/>
          <w:szCs w:val="24"/>
          <w:lang w:eastAsia="zh-CN"/>
        </w:rPr>
        <w:t>保证金”；</w:t>
      </w:r>
    </w:p>
    <w:p w14:paraId="0D5B1550">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2.发生以下情况之一者，</w:t>
      </w:r>
      <w:r>
        <w:rPr>
          <w:rFonts w:hint="eastAsia" w:ascii="Times New Roman" w:hAnsi="Times New Roman" w:eastAsia="仿宋" w:cs="Times New Roman"/>
          <w:color w:val="auto"/>
          <w:sz w:val="24"/>
          <w:szCs w:val="24"/>
          <w:lang w:val="en-US" w:eastAsia="zh-CN"/>
        </w:rPr>
        <w:t>响应</w:t>
      </w:r>
      <w:r>
        <w:rPr>
          <w:rFonts w:ascii="Times New Roman" w:hAnsi="Times New Roman" w:eastAsia="仿宋" w:cs="Times New Roman"/>
          <w:color w:val="auto"/>
          <w:sz w:val="24"/>
          <w:szCs w:val="24"/>
          <w:lang w:eastAsia="zh-CN"/>
        </w:rPr>
        <w:t>保证金不予退还：</w:t>
      </w:r>
    </w:p>
    <w:p w14:paraId="7A4D50B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2.1  供应商在提交响应文件截止时间后撤回响应文件的；</w:t>
      </w:r>
    </w:p>
    <w:p w14:paraId="031E4E3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2.2  供应商在响应文件中提供虚假材料的；</w:t>
      </w:r>
    </w:p>
    <w:p w14:paraId="3CABE78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2.3  除因不可抗力或</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认可的情形以外，成交供应商不与采购人签订合同的；</w:t>
      </w:r>
    </w:p>
    <w:p w14:paraId="29DD10F1">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2.4  供应商与采购人、其他供应商恶意串通的；</w:t>
      </w:r>
    </w:p>
    <w:p w14:paraId="20DFA63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2.5  成交供应商不按规定的时间或拒绝按成交状态签订合同[即不按照采购文件确定的合同文本以及采购标的、规格型号、采购金额、采购数量、技术（质量）和服务要求等事项签订采购合同的]。</w:t>
      </w:r>
    </w:p>
    <w:p w14:paraId="3EF7B24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w:t>
      </w:r>
      <w:r>
        <w:rPr>
          <w:rFonts w:hint="eastAsia" w:ascii="Times New Roman" w:hAnsi="Times New Roman" w:eastAsia="仿宋" w:cs="Times New Roman"/>
          <w:color w:val="auto"/>
          <w:sz w:val="24"/>
          <w:szCs w:val="24"/>
          <w:lang w:val="en-US" w:eastAsia="zh-CN"/>
        </w:rPr>
        <w:t>响应</w:t>
      </w:r>
      <w:r>
        <w:rPr>
          <w:rFonts w:ascii="Times New Roman" w:hAnsi="Times New Roman" w:eastAsia="仿宋" w:cs="Times New Roman"/>
          <w:color w:val="auto"/>
          <w:sz w:val="24"/>
          <w:szCs w:val="24"/>
          <w:lang w:eastAsia="zh-CN"/>
        </w:rPr>
        <w:t>保证金的有效期限</w:t>
      </w:r>
      <w:r>
        <w:rPr>
          <w:rFonts w:hint="eastAsia" w:ascii="Times New Roman" w:hAnsi="Times New Roman" w:eastAsia="仿宋" w:cs="Times New Roman"/>
          <w:color w:val="auto"/>
          <w:sz w:val="24"/>
          <w:szCs w:val="24"/>
          <w:lang w:eastAsia="zh-CN"/>
        </w:rPr>
        <w:t>同竞争性比选</w:t>
      </w:r>
      <w:r>
        <w:rPr>
          <w:rFonts w:ascii="Times New Roman" w:hAnsi="Times New Roman" w:eastAsia="仿宋" w:cs="Times New Roman"/>
          <w:color w:val="auto"/>
          <w:sz w:val="24"/>
          <w:szCs w:val="24"/>
          <w:lang w:eastAsia="zh-CN"/>
        </w:rPr>
        <w:t>有效期。</w:t>
      </w:r>
    </w:p>
    <w:p w14:paraId="3F7FB0D3">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（三）修正错误</w:t>
      </w:r>
    </w:p>
    <w:p w14:paraId="20AF76B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若供应商所递交的响应文件或报价中的价格出现大写金额和小写金额不一致的错误，以大写金额修正为准。</w:t>
      </w:r>
    </w:p>
    <w:p w14:paraId="066AA2E1">
      <w:pPr>
        <w:spacing w:line="360" w:lineRule="auto"/>
        <w:ind w:firstLine="481"/>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小组或采购人按上述修正错误的原则及方法修正供应商的报价，供应商同意并签署确认后，修正后的报价对供应商具有约束作用。如果供应商不接受修正后的价格，将视为无效报价。</w:t>
      </w:r>
    </w:p>
    <w:p w14:paraId="43F7350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（四）提交响应文件的份数和签署</w:t>
      </w:r>
    </w:p>
    <w:p w14:paraId="7DBA3C9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1.响应文件一式</w:t>
      </w:r>
      <w:r>
        <w:rPr>
          <w:rFonts w:hint="eastAsia" w:ascii="Times New Roman" w:hAnsi="Times New Roman" w:eastAsia="仿宋" w:cs="Times New Roman"/>
          <w:color w:val="auto"/>
          <w:sz w:val="24"/>
          <w:szCs w:val="24"/>
          <w:lang w:val="en-US" w:eastAsia="zh-CN"/>
        </w:rPr>
        <w:t>三</w:t>
      </w:r>
      <w:r>
        <w:rPr>
          <w:rFonts w:ascii="Times New Roman" w:hAnsi="Times New Roman" w:eastAsia="仿宋" w:cs="Times New Roman"/>
          <w:color w:val="auto"/>
          <w:sz w:val="24"/>
          <w:szCs w:val="24"/>
          <w:lang w:eastAsia="zh-CN"/>
        </w:rPr>
        <w:t>份，其中正本一份、副本一份</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电子文件一份</w:t>
      </w:r>
      <w:r>
        <w:rPr>
          <w:rFonts w:ascii="Times New Roman" w:hAnsi="Times New Roman" w:eastAsia="仿宋" w:cs="Times New Roman"/>
          <w:color w:val="auto"/>
          <w:sz w:val="24"/>
          <w:szCs w:val="24"/>
          <w:lang w:eastAsia="zh-CN"/>
        </w:rPr>
        <w:t>。副本可为正本的复印件，应与正本一致，如出现不一致情况以正本为准。</w:t>
      </w:r>
    </w:p>
    <w:p w14:paraId="6CB327AC">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2.在响应文件正本中，</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第七篇响应文件格式中规定签署、盖章的地方必须按其规定签署、盖章。</w:t>
      </w:r>
    </w:p>
    <w:p w14:paraId="3005E1F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3.若供应商对响应文件的错处作必要修改，则应在修改处加盖供应商公章或由法定代表人（或其授权代表）或自然人（供应商为自然人）签署确认。</w:t>
      </w:r>
    </w:p>
    <w:p w14:paraId="6CBA19D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4.电报、电话、传真形式的响应文件概不接受。</w:t>
      </w:r>
    </w:p>
    <w:p w14:paraId="3A7E42E5">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（五）响应文件的递交</w:t>
      </w:r>
    </w:p>
    <w:p w14:paraId="18D9135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响应文件的正本、副本</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电子文件</w:t>
      </w:r>
      <w:r>
        <w:rPr>
          <w:rFonts w:ascii="Times New Roman" w:hAnsi="Times New Roman" w:eastAsia="仿宋" w:cs="Times New Roman"/>
          <w:color w:val="auto"/>
          <w:sz w:val="24"/>
          <w:szCs w:val="24"/>
          <w:lang w:eastAsia="zh-CN"/>
        </w:rPr>
        <w:t>均应密封送达报价地点，应在封套上注明</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项目名称、供应商名称</w:t>
      </w:r>
      <w:r>
        <w:rPr>
          <w:rFonts w:hint="eastAsia" w:ascii="Times New Roman" w:hAnsi="Times New Roman" w:eastAsia="仿宋" w:cs="Times New Roman"/>
          <w:color w:val="auto"/>
          <w:sz w:val="24"/>
          <w:szCs w:val="24"/>
          <w:lang w:val="en-US" w:eastAsia="zh-CN"/>
        </w:rPr>
        <w:t>并加盖公章</w:t>
      </w:r>
      <w:r>
        <w:rPr>
          <w:rFonts w:ascii="Times New Roman" w:hAnsi="Times New Roman" w:eastAsia="仿宋" w:cs="Times New Roman"/>
          <w:color w:val="auto"/>
          <w:sz w:val="24"/>
          <w:szCs w:val="24"/>
          <w:lang w:eastAsia="zh-CN"/>
        </w:rPr>
        <w:t>。若正本、副本</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电子文件</w:t>
      </w:r>
      <w:r>
        <w:rPr>
          <w:rFonts w:ascii="Times New Roman" w:hAnsi="Times New Roman" w:eastAsia="仿宋" w:cs="Times New Roman"/>
          <w:color w:val="auto"/>
          <w:sz w:val="24"/>
          <w:szCs w:val="24"/>
          <w:lang w:eastAsia="zh-CN"/>
        </w:rPr>
        <w:t>分别进行密封的，还应在封套上注明“正本”、“副本”</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电子文件</w:t>
      </w:r>
      <w:r>
        <w:rPr>
          <w:rFonts w:ascii="Times New Roman" w:hAnsi="Times New Roman" w:eastAsia="仿宋" w:cs="Times New Roman"/>
          <w:color w:val="auto"/>
          <w:sz w:val="24"/>
          <w:szCs w:val="24"/>
          <w:lang w:eastAsia="zh-CN"/>
        </w:rPr>
        <w:t>”字样。</w:t>
      </w:r>
    </w:p>
    <w:p w14:paraId="5AC81419">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（六）响应文件语言：简体中文。</w:t>
      </w:r>
      <w:bookmarkStart w:id="99" w:name="_Toc65660358"/>
      <w:bookmarkStart w:id="100" w:name="_Toc14702"/>
      <w:bookmarkStart w:id="101" w:name="_Toc10172"/>
      <w:bookmarkStart w:id="102" w:name="_Toc6242"/>
      <w:bookmarkStart w:id="103" w:name="_Toc106034798"/>
    </w:p>
    <w:p w14:paraId="48B7E9F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四、成交供应商的确定和变更</w:t>
      </w:r>
      <w:bookmarkEnd w:id="99"/>
      <w:bookmarkEnd w:id="100"/>
      <w:bookmarkEnd w:id="101"/>
      <w:bookmarkEnd w:id="102"/>
      <w:bookmarkEnd w:id="103"/>
    </w:p>
    <w:p w14:paraId="529744E7">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采购人应当在评审结束后2个工作日内确认评审报告。采购人应当在收到评审报告后5个工作日内，从评审报告提出的成交候选人中，根据质量和服务均能满足采购文件实质性响应要求且报价最低的原则确定成交供应商，也可以书面授权</w:t>
      </w:r>
      <w:r>
        <w:rPr>
          <w:rFonts w:hint="eastAsia" w:ascii="Times New Roman" w:hAnsi="Times New Roman" w:eastAsia="仿宋" w:cs="Times New Roman"/>
          <w:color w:val="auto"/>
          <w:sz w:val="24"/>
          <w:szCs w:val="24"/>
          <w:lang w:eastAsia="zh-CN"/>
        </w:rPr>
        <w:t>评审</w:t>
      </w:r>
      <w:r>
        <w:rPr>
          <w:rFonts w:ascii="Times New Roman" w:hAnsi="Times New Roman" w:eastAsia="仿宋" w:cs="Times New Roman"/>
          <w:color w:val="auto"/>
          <w:sz w:val="24"/>
          <w:szCs w:val="24"/>
          <w:lang w:eastAsia="zh-CN"/>
        </w:rPr>
        <w:t>小组直接确定成交供应商。采购人逾期未确定成交供应商且不提出异议的，视为确定评审报告提出的报价最低的供应商为成交供应商。</w:t>
      </w:r>
    </w:p>
    <w:p w14:paraId="103B372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（二）成交供应商的变更</w:t>
      </w:r>
    </w:p>
    <w:p w14:paraId="4ABF6F7E">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D25019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2.成交供应商无充分理由放弃成交的，采购人将</w:t>
      </w:r>
      <w:bookmarkStart w:id="104" w:name="_Toc29821"/>
      <w:bookmarkStart w:id="105" w:name="_Toc65660359"/>
      <w:bookmarkStart w:id="106" w:name="_Toc1092"/>
      <w:bookmarkStart w:id="107" w:name="_Toc10504"/>
      <w:bookmarkStart w:id="108" w:name="_Toc106034799"/>
      <w:r>
        <w:rPr>
          <w:rFonts w:ascii="Times New Roman" w:hAnsi="Times New Roman" w:eastAsia="仿宋" w:cs="Times New Roman"/>
          <w:color w:val="auto"/>
          <w:sz w:val="24"/>
          <w:szCs w:val="24"/>
          <w:lang w:eastAsia="zh-CN"/>
        </w:rPr>
        <w:t>其纳入供应商黑名单中，后续将无法参与采购人组织的其他采购活动。</w:t>
      </w:r>
    </w:p>
    <w:p w14:paraId="7FBA453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五、成交通知</w:t>
      </w:r>
      <w:bookmarkEnd w:id="104"/>
      <w:bookmarkEnd w:id="105"/>
      <w:bookmarkEnd w:id="106"/>
      <w:bookmarkEnd w:id="107"/>
      <w:bookmarkEnd w:id="108"/>
    </w:p>
    <w:p w14:paraId="27FDF62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（一）成交供应商确定后，采购人发布成交结果公告。</w:t>
      </w:r>
    </w:p>
    <w:p w14:paraId="54D9A976">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（二）结果公告发出同时，采购人将以书面形式发出《成交通知书》。《成交通知书》一经发出即发生法律效力。</w:t>
      </w:r>
    </w:p>
    <w:p w14:paraId="3D46E58A">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（三）《成交通知书》将作为签订合同的依据</w:t>
      </w:r>
      <w:bookmarkStart w:id="109" w:name="_Toc16648"/>
      <w:bookmarkStart w:id="110" w:name="_Toc23778"/>
      <w:bookmarkStart w:id="111" w:name="_Toc65660361"/>
      <w:bookmarkStart w:id="112" w:name="_Toc106034801"/>
      <w:bookmarkStart w:id="113" w:name="_Toc3127"/>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lang w:eastAsia="zh-CN"/>
        </w:rPr>
        <w:t>供应商</w:t>
      </w:r>
      <w:r>
        <w:rPr>
          <w:rFonts w:hint="eastAsia" w:ascii="Times New Roman" w:hAnsi="Times New Roman" w:eastAsia="仿宋" w:cs="Times New Roman"/>
          <w:color w:val="auto"/>
          <w:sz w:val="24"/>
          <w:szCs w:val="24"/>
          <w:lang w:eastAsia="zh-CN"/>
        </w:rPr>
        <w:t>领取</w:t>
      </w:r>
      <w:r>
        <w:rPr>
          <w:rFonts w:ascii="Times New Roman" w:hAnsi="Times New Roman" w:eastAsia="仿宋" w:cs="Times New Roman"/>
          <w:color w:val="auto"/>
          <w:sz w:val="24"/>
          <w:szCs w:val="24"/>
          <w:lang w:eastAsia="zh-CN"/>
        </w:rPr>
        <w:t>《成交通知书》</w:t>
      </w:r>
      <w:r>
        <w:rPr>
          <w:rFonts w:hint="eastAsia" w:ascii="Times New Roman" w:hAnsi="Times New Roman" w:eastAsia="仿宋" w:cs="Times New Roman"/>
          <w:color w:val="auto"/>
          <w:sz w:val="24"/>
          <w:szCs w:val="24"/>
          <w:lang w:eastAsia="zh-CN"/>
        </w:rPr>
        <w:t>前需向采购人招投标办公室缴纳1000元的招标服务费。</w:t>
      </w:r>
    </w:p>
    <w:p w14:paraId="63E0B885">
      <w:pPr>
        <w:spacing w:line="360" w:lineRule="auto"/>
        <w:ind w:firstLine="481"/>
        <w:jc w:val="both"/>
        <w:rPr>
          <w:rFonts w:ascii="Times New Roman" w:hAnsi="Times New Roman" w:eastAsia="黑体" w:cs="Times New Roman"/>
          <w:b/>
          <w:bCs/>
          <w:color w:val="auto"/>
          <w:sz w:val="24"/>
          <w:szCs w:val="24"/>
          <w:lang w:eastAsia="zh-CN"/>
        </w:rPr>
      </w:pPr>
      <w:r>
        <w:rPr>
          <w:rFonts w:ascii="Times New Roman" w:hAnsi="Times New Roman" w:eastAsia="黑体" w:cs="Times New Roman"/>
          <w:b/>
          <w:bCs/>
          <w:color w:val="auto"/>
          <w:sz w:val="24"/>
          <w:szCs w:val="24"/>
          <w:lang w:eastAsia="zh-CN"/>
        </w:rPr>
        <w:t>六、合同</w:t>
      </w:r>
      <w:bookmarkEnd w:id="109"/>
      <w:bookmarkEnd w:id="110"/>
      <w:bookmarkEnd w:id="111"/>
      <w:bookmarkEnd w:id="112"/>
      <w:bookmarkEnd w:id="113"/>
      <w:r>
        <w:rPr>
          <w:rFonts w:ascii="Times New Roman" w:hAnsi="Times New Roman" w:eastAsia="黑体" w:cs="Times New Roman"/>
          <w:b/>
          <w:bCs/>
          <w:color w:val="auto"/>
          <w:sz w:val="24"/>
          <w:szCs w:val="24"/>
          <w:lang w:eastAsia="zh-CN"/>
        </w:rPr>
        <w:t>签订</w:t>
      </w:r>
    </w:p>
    <w:p w14:paraId="3F13BAE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（一）采购人原则上应在成交通知书发出之日起5个工作日内和成交供应商签订采购合同，无正当理由不得拒绝或拖延合同签订。所签订的合同不得对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和供应商的响应文件作实质性修改。其他未尽事宜由采购人和成交供应商在采购合同中详细约定。</w:t>
      </w:r>
    </w:p>
    <w:p w14:paraId="72F62208">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、供应商的响应文件及澄清文件等均为签订采购合同的依据。</w:t>
      </w:r>
    </w:p>
    <w:p w14:paraId="67847F3F">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（三）合同生效条款由供需双方约定，法律、行政法规规定应当办理批准、登记等手续后生效的合同，依照其规定。</w:t>
      </w:r>
    </w:p>
    <w:p w14:paraId="611274EB">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（四）成交供应商未按照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确定的事项签订合同，或者与采购人另行订立背离合同实质性内容协议的，将承担相关法律责任。</w:t>
      </w:r>
    </w:p>
    <w:p w14:paraId="1C1C3DD4">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（五）采购人要求成交供应商提供履约保证金的，应当在</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中予以约定。成交供应商履约完毕后，采购人根据采购文件规定无息退还其履约保证金。</w:t>
      </w:r>
      <w:bookmarkStart w:id="114" w:name="_Toc32594"/>
      <w:bookmarkStart w:id="115" w:name="_Toc2438"/>
      <w:bookmarkStart w:id="116" w:name="_Toc106034803"/>
      <w:bookmarkStart w:id="117" w:name="_Toc29513"/>
      <w:bookmarkStart w:id="118" w:name="_Toc65660362"/>
    </w:p>
    <w:bookmarkEnd w:id="114"/>
    <w:bookmarkEnd w:id="115"/>
    <w:bookmarkEnd w:id="116"/>
    <w:bookmarkEnd w:id="117"/>
    <w:bookmarkEnd w:id="118"/>
    <w:p w14:paraId="027CBB6C">
      <w:pPr>
        <w:rPr>
          <w:rFonts w:ascii="Times New Roman" w:hAnsi="Times New Roman" w:eastAsia="黑体" w:cs="Times New Roman"/>
          <w:b/>
          <w:bCs/>
          <w:color w:val="auto"/>
          <w:sz w:val="32"/>
          <w:szCs w:val="32"/>
          <w:lang w:eastAsia="zh-CN"/>
        </w:rPr>
      </w:pPr>
      <w:bookmarkStart w:id="119" w:name="bookmark35"/>
      <w:bookmarkEnd w:id="119"/>
      <w:bookmarkStart w:id="120" w:name="bookmark34"/>
      <w:bookmarkEnd w:id="120"/>
      <w:bookmarkStart w:id="121" w:name="_Toc11641055"/>
      <w:bookmarkStart w:id="122" w:name="_Toc12789059"/>
      <w:bookmarkStart w:id="123" w:name="_Toc106034806"/>
      <w:bookmarkStart w:id="124" w:name="_Toc65660365"/>
      <w:bookmarkStart w:id="125" w:name="_Toc14861"/>
      <w:bookmarkStart w:id="126" w:name="_Toc10599"/>
      <w:bookmarkStart w:id="127" w:name="_Toc28162"/>
      <w:r>
        <w:rPr>
          <w:rFonts w:ascii="Times New Roman" w:hAnsi="Times New Roman" w:eastAsia="黑体" w:cs="Times New Roman"/>
          <w:b/>
          <w:bCs/>
          <w:color w:val="auto"/>
          <w:sz w:val="32"/>
          <w:szCs w:val="32"/>
          <w:lang w:eastAsia="zh-CN"/>
        </w:rPr>
        <w:br w:type="page"/>
      </w:r>
    </w:p>
    <w:p w14:paraId="7377AFC3">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 xml:space="preserve">第六篇  </w:t>
      </w:r>
      <w:r>
        <w:rPr>
          <w:rFonts w:hint="eastAsia" w:ascii="Times New Roman" w:hAnsi="Times New Roman" w:eastAsia="黑体" w:cs="Times New Roman"/>
          <w:b/>
          <w:bCs/>
          <w:color w:val="auto"/>
          <w:sz w:val="32"/>
          <w:szCs w:val="32"/>
          <w:lang w:eastAsia="zh-CN"/>
        </w:rPr>
        <w:t>采购合同（格式样本）</w:t>
      </w:r>
      <w:r>
        <w:rPr>
          <w:rFonts w:ascii="Times New Roman" w:hAnsi="Times New Roman" w:eastAsia="黑体" w:cs="Times New Roman"/>
          <w:b/>
          <w:bCs/>
          <w:color w:val="auto"/>
          <w:sz w:val="32"/>
          <w:szCs w:val="32"/>
          <w:lang w:eastAsia="zh-CN"/>
        </w:rPr>
        <w:t xml:space="preserve"> </w:t>
      </w:r>
      <w:bookmarkEnd w:id="121"/>
      <w:bookmarkEnd w:id="122"/>
    </w:p>
    <w:bookmarkEnd w:id="123"/>
    <w:bookmarkEnd w:id="124"/>
    <w:bookmarkEnd w:id="125"/>
    <w:bookmarkEnd w:id="126"/>
    <w:bookmarkEnd w:id="127"/>
    <w:p w14:paraId="38C55036">
      <w:pPr>
        <w:spacing w:line="360" w:lineRule="auto"/>
        <w:ind w:firstLine="481"/>
        <w:jc w:val="center"/>
        <w:rPr>
          <w:rFonts w:hint="eastAsia" w:ascii="仿宋" w:hAnsi="仿宋" w:eastAsia="仿宋" w:cs="Times New Roman"/>
          <w:color w:val="auto"/>
          <w:sz w:val="28"/>
          <w:szCs w:val="28"/>
          <w:lang w:eastAsia="zh-CN"/>
        </w:rPr>
      </w:pPr>
      <w:bookmarkStart w:id="128" w:name="_Toc6968"/>
      <w:bookmarkStart w:id="129" w:name="_Toc9538"/>
      <w:bookmarkStart w:id="130" w:name="_Toc18521"/>
      <w:bookmarkStart w:id="131" w:name="_Toc65660378"/>
      <w:bookmarkStart w:id="132" w:name="_Toc12789072"/>
      <w:bookmarkStart w:id="133" w:name="_Toc106034807"/>
      <w:r>
        <w:rPr>
          <w:rFonts w:ascii="仿宋" w:hAnsi="仿宋" w:eastAsia="仿宋" w:cs="Times New Roman"/>
          <w:color w:val="auto"/>
          <w:sz w:val="28"/>
          <w:szCs w:val="28"/>
          <w:lang w:eastAsia="zh-CN"/>
        </w:rPr>
        <w:t>重庆理工职业学院</w:t>
      </w:r>
      <w:r>
        <w:rPr>
          <w:rFonts w:hint="eastAsia" w:ascii="仿宋" w:hAnsi="仿宋" w:eastAsia="仿宋" w:cs="宋体"/>
          <w:color w:val="auto"/>
          <w:sz w:val="28"/>
          <w:szCs w:val="28"/>
          <w:lang w:eastAsia="zh-CN"/>
        </w:rPr>
        <w:t>半岛绿化</w:t>
      </w:r>
      <w:r>
        <w:rPr>
          <w:rFonts w:hint="eastAsia" w:ascii="仿宋" w:hAnsi="仿宋" w:eastAsia="仿宋" w:cs="___WRD_EMBED_SUB_55"/>
          <w:color w:val="auto"/>
          <w:sz w:val="28"/>
          <w:szCs w:val="28"/>
          <w:lang w:eastAsia="zh-CN"/>
        </w:rPr>
        <w:t>设</w:t>
      </w:r>
      <w:r>
        <w:rPr>
          <w:rFonts w:hint="eastAsia" w:ascii="仿宋" w:hAnsi="仿宋" w:eastAsia="仿宋" w:cs="宋体"/>
          <w:color w:val="auto"/>
          <w:sz w:val="28"/>
          <w:szCs w:val="28"/>
          <w:lang w:eastAsia="zh-CN"/>
        </w:rPr>
        <w:t>计施</w:t>
      </w:r>
      <w:r>
        <w:rPr>
          <w:rFonts w:hint="eastAsia" w:ascii="仿宋" w:hAnsi="仿宋" w:eastAsia="仿宋" w:cs="___WRD_EMBED_SUB_55"/>
          <w:color w:val="auto"/>
          <w:sz w:val="28"/>
          <w:szCs w:val="28"/>
          <w:lang w:eastAsia="zh-CN"/>
        </w:rPr>
        <w:t>工</w:t>
      </w:r>
      <w:r>
        <w:rPr>
          <w:rFonts w:hint="eastAsia" w:ascii="仿宋" w:hAnsi="仿宋" w:eastAsia="仿宋" w:cs="宋体"/>
          <w:color w:val="auto"/>
          <w:sz w:val="28"/>
          <w:szCs w:val="28"/>
          <w:lang w:eastAsia="zh-CN"/>
        </w:rPr>
        <w:t>一体化</w:t>
      </w:r>
      <w:r>
        <w:rPr>
          <w:rFonts w:hint="eastAsia" w:ascii="仿宋" w:hAnsi="仿宋" w:eastAsia="仿宋" w:cs="___WRD_EMBED_SUB_55"/>
          <w:color w:val="auto"/>
          <w:sz w:val="28"/>
          <w:szCs w:val="28"/>
          <w:lang w:eastAsia="zh-CN"/>
        </w:rPr>
        <w:t>工程</w:t>
      </w:r>
    </w:p>
    <w:p w14:paraId="04A30A87">
      <w:pPr>
        <w:widowControl w:val="0"/>
        <w:kinsoku/>
        <w:autoSpaceDE/>
        <w:autoSpaceDN/>
        <w:adjustRightInd/>
        <w:snapToGrid/>
        <w:spacing w:line="400" w:lineRule="exact"/>
        <w:jc w:val="right"/>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合同编号：</w:t>
      </w:r>
    </w:p>
    <w:p w14:paraId="7DD7878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发包方（甲方）：重庆理工职业学院</w:t>
      </w:r>
    </w:p>
    <w:p w14:paraId="50771F8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统一社会信用代码：52500000MJP5965746</w:t>
      </w:r>
    </w:p>
    <w:p w14:paraId="0500939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注册地址：重庆市巴南区界石镇东城大道 588 号</w:t>
      </w:r>
    </w:p>
    <w:p w14:paraId="022A1D9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开户行：中国银行重庆巴南支行</w:t>
      </w:r>
    </w:p>
    <w:p w14:paraId="24BEADC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账号：113070691433</w:t>
      </w:r>
    </w:p>
    <w:p w14:paraId="421DAFC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联系人：李冬儒</w:t>
      </w:r>
    </w:p>
    <w:p w14:paraId="07ECE87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联系电话：1523777671</w:t>
      </w:r>
    </w:p>
    <w:p w14:paraId="269E02A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16D8A51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承包方（乙方）：</w:t>
      </w:r>
    </w:p>
    <w:p w14:paraId="10418CA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统一社会信用代码：</w:t>
      </w:r>
    </w:p>
    <w:p w14:paraId="3DBE298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企业地址：</w:t>
      </w:r>
    </w:p>
    <w:p w14:paraId="434BFCB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开户行：</w:t>
      </w:r>
    </w:p>
    <w:p w14:paraId="552B5FD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账号：</w:t>
      </w:r>
    </w:p>
    <w:p w14:paraId="7C09512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联系人：</w:t>
      </w:r>
    </w:p>
    <w:p w14:paraId="0C7B94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联系电话：</w:t>
      </w:r>
    </w:p>
    <w:p w14:paraId="7C05366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F03F16A">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甲乙双方依照《中华人民共和国民法典》及其他相关法律、行政法规的规定，遵循平等、自愿、公平、诚信的原则，就甲方 “重庆理工职业学院</w:t>
      </w:r>
      <w:r>
        <w:rPr>
          <w:rFonts w:hint="eastAsia" w:ascii="仿宋" w:hAnsi="仿宋" w:eastAsia="仿宋" w:cs="宋体"/>
          <w:snapToGrid/>
          <w:color w:val="auto"/>
          <w:kern w:val="2"/>
          <w:sz w:val="24"/>
          <w:szCs w:val="24"/>
          <w:lang w:eastAsia="zh-CN"/>
        </w:rPr>
        <w:t>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r>
        <w:rPr>
          <w:rFonts w:ascii="仿宋" w:hAnsi="仿宋" w:eastAsia="仿宋" w:cs="Times New Roman"/>
          <w:snapToGrid/>
          <w:color w:val="auto"/>
          <w:kern w:val="2"/>
          <w:sz w:val="24"/>
          <w:szCs w:val="24"/>
          <w:lang w:eastAsia="zh-CN"/>
        </w:rPr>
        <w:t>” 承包事宜协商一致，订立本合同，以资共同遵守。</w:t>
      </w:r>
    </w:p>
    <w:p w14:paraId="0551691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第一条 工程概况</w:t>
      </w:r>
    </w:p>
    <w:p w14:paraId="1F3A763F">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 工程名称：重庆理工职业学院</w:t>
      </w:r>
      <w:r>
        <w:rPr>
          <w:rFonts w:hint="eastAsia" w:ascii="仿宋" w:hAnsi="仿宋" w:eastAsia="仿宋" w:cs="宋体"/>
          <w:snapToGrid/>
          <w:color w:val="auto"/>
          <w:kern w:val="2"/>
          <w:sz w:val="24"/>
          <w:szCs w:val="24"/>
          <w:lang w:eastAsia="zh-CN"/>
        </w:rPr>
        <w:t>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p>
    <w:p w14:paraId="20D71A44">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 工程地点：重庆市巴南区东城大道 588 号重庆理工职业学院内</w:t>
      </w:r>
    </w:p>
    <w:p w14:paraId="77177233">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 工程范围：</w:t>
      </w:r>
    </w:p>
    <w:p w14:paraId="59850403">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 按设计图纸、工程量清单和甲方指令，完成重庆理工职业学院2025</w:t>
      </w:r>
      <w:r>
        <w:rPr>
          <w:rFonts w:hint="eastAsia" w:ascii="仿宋" w:hAnsi="仿宋" w:eastAsia="仿宋" w:cs="宋体"/>
          <w:snapToGrid/>
          <w:color w:val="auto"/>
          <w:kern w:val="2"/>
          <w:sz w:val="24"/>
          <w:szCs w:val="24"/>
          <w:lang w:eastAsia="zh-CN"/>
        </w:rPr>
        <w:t>年半岛绿化</w:t>
      </w:r>
      <w:r>
        <w:rPr>
          <w:rFonts w:hint="eastAsia" w:ascii="仿宋" w:hAnsi="仿宋" w:eastAsia="仿宋" w:cs="___WRD_EMBED_SUB_54"/>
          <w:snapToGrid/>
          <w:color w:val="auto"/>
          <w:kern w:val="2"/>
          <w:sz w:val="24"/>
          <w:szCs w:val="24"/>
          <w:lang w:eastAsia="zh-CN"/>
        </w:rPr>
        <w:t>设</w:t>
      </w:r>
      <w:r>
        <w:rPr>
          <w:rFonts w:hint="eastAsia" w:ascii="仿宋" w:hAnsi="仿宋" w:eastAsia="仿宋" w:cs="宋体"/>
          <w:snapToGrid/>
          <w:color w:val="auto"/>
          <w:kern w:val="2"/>
          <w:sz w:val="24"/>
          <w:szCs w:val="24"/>
          <w:lang w:eastAsia="zh-CN"/>
        </w:rPr>
        <w:t>计施</w:t>
      </w:r>
      <w:r>
        <w:rPr>
          <w:rFonts w:hint="eastAsia" w:ascii="仿宋" w:hAnsi="仿宋" w:eastAsia="仿宋" w:cs="___WRD_EMBED_SUB_54"/>
          <w:snapToGrid/>
          <w:color w:val="auto"/>
          <w:kern w:val="2"/>
          <w:sz w:val="24"/>
          <w:szCs w:val="24"/>
          <w:lang w:eastAsia="zh-CN"/>
        </w:rPr>
        <w:t>工一体</w:t>
      </w:r>
      <w:r>
        <w:rPr>
          <w:rFonts w:hint="eastAsia" w:ascii="仿宋" w:hAnsi="仿宋" w:eastAsia="仿宋" w:cs="宋体"/>
          <w:snapToGrid/>
          <w:color w:val="auto"/>
          <w:kern w:val="2"/>
          <w:sz w:val="24"/>
          <w:szCs w:val="24"/>
          <w:lang w:eastAsia="zh-CN"/>
        </w:rPr>
        <w:t>化</w:t>
      </w:r>
      <w:r>
        <w:rPr>
          <w:rFonts w:hint="eastAsia" w:ascii="仿宋" w:hAnsi="仿宋" w:eastAsia="仿宋" w:cs="___WRD_EMBED_SUB_54"/>
          <w:snapToGrid/>
          <w:color w:val="auto"/>
          <w:kern w:val="2"/>
          <w:sz w:val="24"/>
          <w:szCs w:val="24"/>
          <w:lang w:eastAsia="zh-CN"/>
        </w:rPr>
        <w:t>工程</w:t>
      </w:r>
      <w:r>
        <w:rPr>
          <w:rFonts w:ascii="仿宋" w:hAnsi="仿宋" w:eastAsia="仿宋" w:cs="Times New Roman"/>
          <w:snapToGrid/>
          <w:color w:val="auto"/>
          <w:kern w:val="2"/>
          <w:sz w:val="24"/>
          <w:szCs w:val="24"/>
          <w:lang w:eastAsia="zh-CN"/>
        </w:rPr>
        <w:t>的建设，合同范围内的工程必须满足甲方使用需求并满足行业相关验收标准。乙方必须按图和按规范施工，本工程的设计图纸和方案可能存在变更的情况，若发生变更，以变更的图纸或甲方的指令和方案为准。</w:t>
      </w:r>
    </w:p>
    <w:p w14:paraId="5EF7E019">
      <w:pPr>
        <w:widowControl w:val="0"/>
        <w:kinsoku/>
        <w:autoSpaceDE/>
        <w:autoSpaceDN/>
        <w:adjustRightInd/>
        <w:snapToGrid/>
        <w:spacing w:line="400" w:lineRule="exact"/>
        <w:ind w:firstLine="480" w:firstLineChars="2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1.3.2 本工程由乙方提供设计方案和工程量清单，提交至甲方且获得甲方的明确认可后方可施工。并且施工使用的材料质量必须满足设计方案和甲方的具体要求。本工程所有的材料进场前乙方须向甲方送样确认，到场后按规定报验，甲方签字同意后方能进场使用。对于乙供材料甲方均有权改为甲供，结算时扣除清单中相应的材料费用，乙方应无条件接受。</w:t>
      </w:r>
    </w:p>
    <w:p w14:paraId="665D065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第二条  工程</w:t>
      </w:r>
      <w:r>
        <w:rPr>
          <w:rFonts w:hint="eastAsia" w:ascii="仿宋" w:hAnsi="仿宋" w:eastAsia="仿宋" w:cs="Times New Roman"/>
          <w:snapToGrid/>
          <w:color w:val="auto"/>
          <w:kern w:val="2"/>
          <w:sz w:val="24"/>
          <w:szCs w:val="24"/>
          <w:lang w:eastAsia="zh-CN"/>
        </w:rPr>
        <w:t>承包</w:t>
      </w:r>
      <w:r>
        <w:rPr>
          <w:rFonts w:ascii="仿宋" w:hAnsi="仿宋" w:eastAsia="仿宋" w:cs="Times New Roman"/>
          <w:snapToGrid/>
          <w:color w:val="auto"/>
          <w:kern w:val="2"/>
          <w:sz w:val="24"/>
          <w:szCs w:val="24"/>
          <w:lang w:eastAsia="zh-CN"/>
        </w:rPr>
        <w:t>方式及合同价款</w:t>
      </w:r>
    </w:p>
    <w:p w14:paraId="19C8D04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2.1 工程</w:t>
      </w:r>
      <w:r>
        <w:rPr>
          <w:rFonts w:hint="eastAsia" w:ascii="仿宋" w:hAnsi="仿宋" w:eastAsia="仿宋" w:cs="Times New Roman"/>
          <w:snapToGrid/>
          <w:color w:val="auto"/>
          <w:kern w:val="2"/>
          <w:sz w:val="24"/>
          <w:szCs w:val="24"/>
          <w:lang w:eastAsia="zh-CN"/>
        </w:rPr>
        <w:t>承包</w:t>
      </w:r>
      <w:r>
        <w:rPr>
          <w:rFonts w:ascii="仿宋" w:hAnsi="仿宋" w:eastAsia="仿宋" w:cs="Times New Roman"/>
          <w:snapToGrid/>
          <w:color w:val="auto"/>
          <w:kern w:val="2"/>
          <w:sz w:val="24"/>
          <w:szCs w:val="24"/>
          <w:lang w:eastAsia="zh-CN"/>
        </w:rPr>
        <w:t>方式：</w:t>
      </w:r>
    </w:p>
    <w:p w14:paraId="47EA449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本工程以包工包料、包质量、包工期、包存活、包风险、包设计和施工（优化设计方案以甲方认可为准）、包安全文明施工、包竣工资料的交钥匙工程的形式由乙方承包。</w:t>
      </w:r>
    </w:p>
    <w:p w14:paraId="01568C8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2.2 本工程价款采用总价包干的结算方式确定，本工程合同总价为</w:t>
      </w:r>
      <w:r>
        <w:rPr>
          <w:rFonts w:ascii="仿宋" w:hAnsi="仿宋" w:eastAsia="仿宋" w:cs="Times New Roman"/>
          <w:snapToGrid/>
          <w:color w:val="auto"/>
          <w:kern w:val="2"/>
          <w:sz w:val="24"/>
          <w:szCs w:val="24"/>
          <w:u w:val="single"/>
          <w:lang w:eastAsia="zh-CN"/>
        </w:rPr>
        <w:t xml:space="preserve">            </w:t>
      </w:r>
      <w:r>
        <w:rPr>
          <w:rFonts w:ascii="仿宋" w:hAnsi="仿宋" w:eastAsia="仿宋" w:cs="Times New Roman"/>
          <w:snapToGrid/>
          <w:color w:val="auto"/>
          <w:kern w:val="2"/>
          <w:sz w:val="24"/>
          <w:szCs w:val="24"/>
          <w:lang w:eastAsia="zh-CN"/>
        </w:rPr>
        <w:t xml:space="preserve">    。</w:t>
      </w:r>
    </w:p>
    <w:p w14:paraId="7059126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2.3 本工程为总价包干，施工总价包括但不限于设计费、人工费、机械费、材料费、措施费、管理费、利润、苗木养护费、协调费、赶工费、安全文明施工费、配合费、资料档案费（如有）、除渣费（含单面3km运距）、停窝工损失费、各类市场风险及其他应由乙方承担的所有费用。不因工资、物价、税率或汇率变动、保险政策变动或任何调价文件之要求而调整。</w:t>
      </w:r>
    </w:p>
    <w:p w14:paraId="24247F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2.4 遇设计变更，由乙方报价，甲方根据GB50500-2013《建设工程工程量清单计价规范》进行认质核价。乙方对甲方的认质核价不认可时，甲方可另行向第三方发包。未经甲方核价和认可的项目乙方不得实施，若自行实施或采购的，甲方不予认可，由此造成的相关损失由乙方自行负责。</w:t>
      </w:r>
    </w:p>
    <w:p w14:paraId="27457E8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2.5 本工程的临时用水和用电由乙方负责，甲方将按工程造价的0.5%在工程结算款中扣除；住宿由甲方有偿提供，住宿内的水电费由乙方自理。</w:t>
      </w:r>
    </w:p>
    <w:p w14:paraId="3014E1F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第三条  工程款支付</w:t>
      </w:r>
    </w:p>
    <w:p w14:paraId="2C2D3BB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3.1 本工程合同履约保证金为</w:t>
      </w:r>
      <w:r>
        <w:rPr>
          <w:rFonts w:hint="eastAsia" w:ascii="仿宋" w:hAnsi="仿宋" w:eastAsia="仿宋" w:cs="Times New Roman"/>
          <w:snapToGrid/>
          <w:color w:val="auto"/>
          <w:kern w:val="2"/>
          <w:sz w:val="24"/>
          <w:szCs w:val="24"/>
          <w:lang w:val="en-US" w:eastAsia="zh-CN"/>
        </w:rPr>
        <w:t>合同金额的10%</w:t>
      </w:r>
      <w:r>
        <w:rPr>
          <w:rFonts w:ascii="仿宋" w:hAnsi="仿宋" w:eastAsia="仿宋" w:cs="Times New Roman"/>
          <w:snapToGrid/>
          <w:color w:val="auto"/>
          <w:kern w:val="2"/>
          <w:sz w:val="24"/>
          <w:szCs w:val="24"/>
          <w:lang w:eastAsia="zh-CN"/>
        </w:rPr>
        <w:t>，签定合同时支付，此履约保证金在竣工验收合格后10日内甲方无息返还。</w:t>
      </w:r>
    </w:p>
    <w:p w14:paraId="5E58887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 工程款支付：本工程无预付款，共分三次支付。</w:t>
      </w:r>
    </w:p>
    <w:p w14:paraId="057709E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3.2.1第一次支付：设计方案经甲方签字认可后支付合同总价的</w:t>
      </w:r>
      <w:r>
        <w:rPr>
          <w:rFonts w:hint="eastAsia" w:ascii="仿宋" w:hAnsi="仿宋" w:eastAsia="仿宋" w:cs="Times New Roman"/>
          <w:snapToGrid/>
          <w:color w:val="auto"/>
          <w:kern w:val="2"/>
          <w:sz w:val="24"/>
          <w:szCs w:val="24"/>
          <w:lang w:val="en-US" w:eastAsia="zh-CN"/>
        </w:rPr>
        <w:t>5</w:t>
      </w:r>
      <w:r>
        <w:rPr>
          <w:rFonts w:ascii="仿宋" w:hAnsi="仿宋" w:eastAsia="仿宋" w:cs="Times New Roman"/>
          <w:snapToGrid/>
          <w:color w:val="auto"/>
          <w:kern w:val="2"/>
          <w:sz w:val="24"/>
          <w:szCs w:val="24"/>
          <w:lang w:eastAsia="zh-CN"/>
        </w:rPr>
        <w:t>%。</w:t>
      </w:r>
    </w:p>
    <w:p w14:paraId="42C4AFC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3.2.2 第二次支付:工程竣工验收合格办理完结算后30日内支付至审定结算总金额的97%，保留审定结算总价款的3%作为质量保证金。</w:t>
      </w:r>
    </w:p>
    <w:p w14:paraId="0E972C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3.2.3 第三次支付：</w:t>
      </w:r>
      <w:r>
        <w:rPr>
          <w:rFonts w:hint="eastAsia" w:ascii="仿宋" w:hAnsi="仿宋" w:eastAsia="仿宋" w:cs="Times New Roman"/>
          <w:snapToGrid/>
          <w:color w:val="auto"/>
          <w:kern w:val="2"/>
          <w:sz w:val="24"/>
          <w:szCs w:val="24"/>
          <w:lang w:val="en-US" w:eastAsia="zh-CN"/>
        </w:rPr>
        <w:t>1</w:t>
      </w:r>
      <w:r>
        <w:rPr>
          <w:rFonts w:ascii="仿宋" w:hAnsi="仿宋" w:eastAsia="仿宋" w:cs="Times New Roman"/>
          <w:snapToGrid/>
          <w:color w:val="auto"/>
          <w:kern w:val="2"/>
          <w:sz w:val="24"/>
          <w:szCs w:val="24"/>
          <w:lang w:eastAsia="zh-CN"/>
        </w:rPr>
        <w:t>年质量缺陷期</w:t>
      </w:r>
      <w:r>
        <w:rPr>
          <w:rFonts w:hint="eastAsia" w:ascii="仿宋" w:hAnsi="仿宋" w:eastAsia="仿宋" w:cs="Times New Roman"/>
          <w:snapToGrid/>
          <w:color w:val="auto"/>
          <w:kern w:val="2"/>
          <w:sz w:val="24"/>
          <w:szCs w:val="24"/>
          <w:lang w:eastAsia="zh-CN"/>
        </w:rPr>
        <w:t>（</w:t>
      </w:r>
      <w:r>
        <w:rPr>
          <w:rFonts w:hint="eastAsia" w:ascii="仿宋" w:hAnsi="仿宋" w:eastAsia="仿宋" w:cs="Times New Roman"/>
          <w:snapToGrid/>
          <w:color w:val="auto"/>
          <w:kern w:val="2"/>
          <w:sz w:val="24"/>
          <w:szCs w:val="24"/>
          <w:lang w:val="en-US" w:eastAsia="zh-CN"/>
        </w:rPr>
        <w:t>养护期</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满并提交质保金退还申请后10日内无息支付质保金。质量缺陷期间乙方积极完成质量缺陷整改，退质保金时不得有质量缺陷。</w:t>
      </w:r>
    </w:p>
    <w:p w14:paraId="589C669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3.2.4 甲方支付每笔款项前，乙方需开具有效的增值税普通发票。</w:t>
      </w:r>
    </w:p>
    <w:p w14:paraId="03197CF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第四条  工期</w:t>
      </w:r>
    </w:p>
    <w:p w14:paraId="03DBC0B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本工程签订合同之日起10个自然日内乙方向甲方提供设计方案，若需修改设计方案，乙方需在3个自然日内重新提交设计方案至甲方审核。设计方案审核通过后，乙方在3个工作日内办理开工手续，施工工期为40日历天（从开工令签署日起开始计算）。乙方的施工进度不得影响其他单位工序的进度，由此造成的工期延误和工序滞后的损失由乙方负责。</w:t>
      </w:r>
    </w:p>
    <w:p w14:paraId="207DBE3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第五条  甲乙双方驻施工现场代表</w:t>
      </w:r>
    </w:p>
    <w:p w14:paraId="12F6631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甲方代表：张恩豪  电话：15086858271</w:t>
      </w:r>
    </w:p>
    <w:p w14:paraId="1144394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乙方代表：        电话：</w:t>
      </w:r>
    </w:p>
    <w:p w14:paraId="0155C7F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第六条  甲方的权利和义务</w:t>
      </w:r>
    </w:p>
    <w:p w14:paraId="52E56A9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6.1 施工场地具备开工条件，为乙方办理施工所涉及的各种申请、批件等手续。开通施工场地通道，指定施工水、电接口（驳接费用由乙方承担）。</w:t>
      </w:r>
    </w:p>
    <w:p w14:paraId="463818B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6.2 安排专人监督检查工程质量、进度，负责施工期间机械、设备、材料到场的验收及中间质量验收，并协调解决施工中的其他问题。</w:t>
      </w:r>
    </w:p>
    <w:p w14:paraId="7118DBA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6.3 开工前2天，清除障碍物，为承包人进场做好准备工作。</w:t>
      </w:r>
    </w:p>
    <w:p w14:paraId="61AE7D5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6.4 根据合同约定，按时足额支付工程款。</w:t>
      </w:r>
    </w:p>
    <w:p w14:paraId="7E0B41F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第七条  乙方的权利和义务</w:t>
      </w:r>
    </w:p>
    <w:p w14:paraId="10EE153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 按照甲方认可的设计方案及合同条款组织施工，不得将其承包的工程转包给他人，否则甲方有权解除合同，并按预付款（首次付款额）的双倍赔偿甲方损失。</w:t>
      </w:r>
    </w:p>
    <w:p w14:paraId="18AFD3D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7.2 制定施工组织方案，保证对所承建的工程严格按照施工图及说明、施工规范和质量验收标准，精心组织施工，并按要求做好各项规定资料，本工程的基础资料收集需符合建设工程档案管理的规定。</w:t>
      </w:r>
    </w:p>
    <w:p w14:paraId="2C5EAD2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7.3 接受甲方和工程监理指定的现场代表的工作安排及质量监督，保证工程质量。及时向甲方上报经济技术指标、工程进度，按时提供技术资料及需要上报的各种报表。</w:t>
      </w:r>
    </w:p>
    <w:p w14:paraId="4726A1E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7.4 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对口部门主管请假，否则甲方将按缺席人数以每人每天1000元对乙方进行处罚。</w:t>
      </w:r>
    </w:p>
    <w:p w14:paraId="301D7C0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7.5 必须执行国家和重庆市关于</w:t>
      </w:r>
      <w:r>
        <w:rPr>
          <w:rFonts w:hint="eastAsia" w:ascii="仿宋" w:hAnsi="仿宋" w:eastAsia="仿宋" w:cs="Times New Roman"/>
          <w:snapToGrid/>
          <w:color w:val="auto"/>
          <w:kern w:val="2"/>
          <w:sz w:val="24"/>
          <w:szCs w:val="24"/>
          <w:lang w:val="en-US" w:eastAsia="zh-CN"/>
        </w:rPr>
        <w:t>园林绿化</w:t>
      </w:r>
      <w:r>
        <w:rPr>
          <w:rFonts w:ascii="仿宋" w:hAnsi="仿宋" w:eastAsia="仿宋" w:cs="Times New Roman"/>
          <w:snapToGrid/>
          <w:color w:val="auto"/>
          <w:kern w:val="2"/>
          <w:sz w:val="24"/>
          <w:szCs w:val="24"/>
          <w:lang w:eastAsia="zh-CN"/>
        </w:rPr>
        <w:t>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w:t>
      </w:r>
    </w:p>
    <w:p w14:paraId="762CB87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7.6 合同签订后，设计图纸乙方不能擅自变更；否则，乙方应对给甲方造成的损失承担相应的赔偿责任。变更需经甲方书面同意。变更后的工作内容，乙方重新上报综合包干单价，经甲方审定后实施。</w:t>
      </w:r>
    </w:p>
    <w:p w14:paraId="2CAE955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7.7 乙方负责按照合同规定完工日期、质量、安全文明施工等有关要求编制工程总进度计划，并上报甲方审核批准。一经批准，乙方必须完全按照施工组织设计施工，不得擅自修改施工组织设计和总进度计划，乙方未上报施工组织设计则承担1000元的违约金。</w:t>
      </w:r>
    </w:p>
    <w:p w14:paraId="40A3DCE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7.8 清单中核定的材料品牌和规格型号，乙方不得私自变更，若发生，所用不合格材料全部清理出场，并承担每次  的违约金。如甲方现场材料满足本工程使用需求，乙方应优先付费使用，价格按甲方采买价或者双方协商确定，在工程款中抵扣。</w:t>
      </w:r>
    </w:p>
    <w:p w14:paraId="695D9F5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7.9 乙方应对施工现场进行保护（含其他单位的成品保护），起始时间从乙方进场后至工程竣工验收合格后撤场，施工现场的成品、半成品、材料及设备损坏或灭失的风险均由乙方承担。</w:t>
      </w:r>
    </w:p>
    <w:p w14:paraId="47B7CE1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7.10 在工程实施过程中产生的工程变更、索赔、现场签证、工程计量、进度款支付、施工组织方案、专项方案等，需报甲方审批后方可实施。</w:t>
      </w:r>
    </w:p>
    <w:p w14:paraId="716AF6C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7.11 配合甲方其他专业分包工作。</w:t>
      </w:r>
    </w:p>
    <w:p w14:paraId="2F899AF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7.12 在合同约定时间内，按照施工方案和施工图完成项目施工。</w:t>
      </w:r>
    </w:p>
    <w:p w14:paraId="4D09CC0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7.13 项目完工后，按相关规定提供（若需要）竣工报告、竣工图、质保承诺、维保手册和相关资料并获得甲方的接收，配合甲方完成项目竣工验收。</w:t>
      </w:r>
    </w:p>
    <w:p w14:paraId="0BE4A5B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7.14 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14:paraId="5DB57B3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第八条  工程管理</w:t>
      </w:r>
    </w:p>
    <w:p w14:paraId="16461B1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  质量管理</w:t>
      </w:r>
    </w:p>
    <w:p w14:paraId="1A894CB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8.1.1 本工程施工质量标准及验收标准需满足国家现行的《建筑工程施工质量验收统一标准》（GB50300-2013）、《建筑安装工程施工及验收规范》、《园林绿化工程施工及验收规范》（CJJ 82-2012）、《园林绿化工程质量验收标准》（CJJ/T 82-2021）、《重庆市城市园林绿化工程施工及验收规范》（DBJ50/T-067-2020）和《建筑安装工程质量检验评定标准》、重庆市颁发的有关条例、规定、标准。</w:t>
      </w:r>
    </w:p>
    <w:p w14:paraId="2050034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8.1.2 本工程竣工工程质量应当达到合同约定的质量标准，质量的评定以国家或行业的质量检验评定标准为依据。因乙方原因质量达不到约定工程质量等级标准者，乙方承担违约责任。</w:t>
      </w:r>
    </w:p>
    <w:p w14:paraId="3899D67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8.1.3 工程具备隐蔽条件或达到专用条款约定的中间验收部位，承包人进行自检，并在隐蔽或中间验收前48小时以书面书式通知甲方现场负责人验收。通知包括隐蔽和中间验收的内容、验收时间和地点。承包人准备验收记录，验收合格，甲方现场负责人在验收记录上签字后，承包人可进行隐蔽和继续施工。验收不合格，承包人在发包人限定的时间内修改后重新验收，乙方承担因质量原因造成的一切费用及违约责任。</w:t>
      </w:r>
    </w:p>
    <w:p w14:paraId="00C564C2">
      <w:pPr>
        <w:widowControl w:val="0"/>
        <w:kinsoku/>
        <w:autoSpaceDE/>
        <w:autoSpaceDN/>
        <w:adjustRightInd/>
        <w:snapToGrid/>
        <w:spacing w:line="400" w:lineRule="exact"/>
        <w:jc w:val="both"/>
        <w:textAlignment w:val="auto"/>
        <w:rPr>
          <w:rFonts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8.1.4 乙方承包范围内安装工程均需按国家和地方有关规定试车，如因乙方原因造成工程质量不合格，乙方应承担全部责任并赔偿损失。</w:t>
      </w:r>
    </w:p>
    <w:p w14:paraId="0A0885E7">
      <w:pPr>
        <w:pStyle w:val="2"/>
        <w:rPr>
          <w:rFonts w:hint="default"/>
          <w:b/>
          <w:bCs/>
          <w:lang w:val="en-US" w:eastAsia="zh-CN"/>
        </w:rPr>
      </w:pPr>
      <w:r>
        <w:rPr>
          <w:rFonts w:hint="eastAsia" w:ascii="仿宋" w:hAnsi="仿宋" w:eastAsia="仿宋" w:cs="Times New Roman"/>
          <w:b/>
          <w:bCs/>
          <w:snapToGrid/>
          <w:color w:val="auto"/>
          <w:kern w:val="2"/>
          <w:sz w:val="24"/>
          <w:szCs w:val="24"/>
          <w:lang w:val="en-US" w:eastAsia="zh-CN"/>
        </w:rPr>
        <w:t>8.1.5 植物养护期1年，存活率100%。</w:t>
      </w:r>
    </w:p>
    <w:p w14:paraId="2FB70B9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  进度管理</w:t>
      </w:r>
    </w:p>
    <w:p w14:paraId="1C43902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8.2.1工期要求：整个工程从开工（开工令签发日期）至投入使用工期为40日历天。若不能按规定时间开工或延误工期，每拖延一天，扣违约金1000元/天（除甲方另有要求的和确有证据证明其他工序影响的除外），因乙方原因工期延误超过10天，甲方有权单方面解除合同。未完工程，甲方有权另行委托其它施工单位承包，乙方应无条件撤离施工现场，结算价款=已完合格工程结算值90%-不合格工程返修费用120%，并一次</w:t>
      </w:r>
      <w:r>
        <w:rPr>
          <w:rFonts w:hint="eastAsia" w:ascii="仿宋" w:hAnsi="仿宋" w:eastAsia="仿宋" w:cs="Times New Roman"/>
          <w:snapToGrid/>
          <w:color w:val="auto"/>
          <w:kern w:val="2"/>
          <w:sz w:val="24"/>
          <w:szCs w:val="24"/>
          <w:lang w:eastAsia="zh-CN"/>
        </w:rPr>
        <w:t>扣除履约保证金</w:t>
      </w:r>
      <w:r>
        <w:rPr>
          <w:rFonts w:ascii="仿宋" w:hAnsi="仿宋" w:eastAsia="仿宋" w:cs="Times New Roman"/>
          <w:snapToGrid/>
          <w:color w:val="auto"/>
          <w:kern w:val="2"/>
          <w:sz w:val="24"/>
          <w:szCs w:val="24"/>
          <w:lang w:eastAsia="zh-CN"/>
        </w:rPr>
        <w:t>。因甲方原因造成的工期延误工期顺延。</w:t>
      </w:r>
    </w:p>
    <w:p w14:paraId="66FDB1F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8.2.2 进度计划：乙方根据审批后的施工方案编制施工进度计划和作业指导书。如因乙方责任使计划仅完成在50%以下，甲方将缓发乙方当月进度款的80%；如当月计划完成70%，甲方将缓发乙方当月进度款的45%，如当月计划完成90%，甲方将缓发乙方当月进度款的20%；若乙方通过努力，在完成本月进度计划的基础上将上月未完成计划部分追赶完成的，甲方对缓发进度款部分予以补发。</w:t>
      </w:r>
    </w:p>
    <w:p w14:paraId="2DA0729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8.2.3 乙方不能满足甲方进度时，甲方有权要求乙方增加人力、物力以满足工期要求，如乙方无力按甲方要求实施，则甲方有权派其他人员增援乙方工作，其增援的费用甲方按照实际支付费用的120%在拟支付乙方的工程款中扣除。</w:t>
      </w:r>
    </w:p>
    <w:p w14:paraId="7F58A23B">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8.2.4 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0654A50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  安全管理</w:t>
      </w:r>
    </w:p>
    <w:p w14:paraId="784CA1A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8.3.1 工程开工前，乙方必须做好安全交底，必须认真贯彻有关安全施工的规章制度。严格遵守安全操作规程。</w:t>
      </w:r>
    </w:p>
    <w:p w14:paraId="2EE3BF1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8.3.2 在施工过程中，严格遵守安全操作规程，如因乙方因违反消防条例、防雷规范或国家相关法律法规造成的事故以及施工中的一切安全责任事故其损均由乙方全部负责。因安全责任事故所致乙方对甲方/第三人/乙方工人的赔偿责任，乙方应当积极妥善解决并承担全部责任，否则，甲方有权从本合同结算工程款中抵扣相应款项以赔偿被侵权人。</w:t>
      </w:r>
    </w:p>
    <w:p w14:paraId="7226D3C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  乙方在项目实施中，必须完成的项目文档：</w:t>
      </w:r>
    </w:p>
    <w:p w14:paraId="5696A3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8.4.1 进场的材料和设备必须提供完整的证明资料、报验手续。</w:t>
      </w:r>
    </w:p>
    <w:p w14:paraId="6C13DFE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8.4.2 项目的各分项任务（含隐蔽工程等）自检合格后，完成报验手续。</w:t>
      </w:r>
    </w:p>
    <w:p w14:paraId="51825A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8.5 项目验收前，乙方必须将项目的过程及竣工相关资料一并移交给甲方，并配合甲方进行项目验收工作。</w:t>
      </w:r>
    </w:p>
    <w:p w14:paraId="10CDD48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第九条  材料设备的验收</w:t>
      </w:r>
    </w:p>
    <w:p w14:paraId="435EC8C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9.1 所有进场的设备、材料，乙方都必须提供其出厂合格证、质检报告及设备使用说明书等。</w:t>
      </w:r>
    </w:p>
    <w:p w14:paraId="2649920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9.2 乙方应在设备、材料进场24小时前通知甲方代表及其他相关人员验收，按甲方规定程序报验。</w:t>
      </w:r>
    </w:p>
    <w:p w14:paraId="6F73C33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9.3 材料和设备进场后，统一由乙方负责保管和使用，如因乙方在保管过程中有重大失误而造成的材料损失，应由乙方负责。</w:t>
      </w:r>
    </w:p>
    <w:p w14:paraId="47145F4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第十条  竣工验收及结算</w:t>
      </w:r>
    </w:p>
    <w:p w14:paraId="739737D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10.1 整个工程全部完成竣工验收合格后，乙方28日内递交三套完整的竣工结算书及相关结算资料（包含但不限于开竣工报告、隐蔽工程资料、产品合格证、审计报告（若有）、设计图、竣工图等及相应电子资料)至甲方，甲方在收到完整的结算书及相关结算资料后30日内完成核对并确认金额。最终结算金额以甲方审计结果或其委托的社会审计机构的审计结果为准。</w:t>
      </w:r>
    </w:p>
    <w:p w14:paraId="0B45731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10.2 乙方合理、据实编制项目结算书，甲方委托社会审计机构审计的（如果需要），送审结算金额高于最终审结金额8%（含）以上的，乙方承担本项目的审计费；送审结算金额高于最终审结金额5%（含）以上8%以下的，乙方承担本项目审计费的60%；对纳入甲方审计机构审计的项目，按实际审计结果进行项目结算，并按审减金额2.5%的标准由乙方承担审计费。乙方承担的审计费从工程项目结算款中扣除。</w:t>
      </w:r>
    </w:p>
    <w:p w14:paraId="025E1B3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10.3 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6F47EF1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10.4 竣工结算经审计完成后5日内完成财务审核，完成财务审核后30日内支付至工程结算款的97%（未竣工验收未结算的除外），剩余3%作为质保金，质保金在质量缺陷期满后无息退还。</w:t>
      </w:r>
    </w:p>
    <w:p w14:paraId="35AC2FD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第十一条  保修</w:t>
      </w:r>
    </w:p>
    <w:p w14:paraId="29B3CD21">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11.1 保修内容和范围：乙方完成的全部工程。不包括不可抗力及人为因素引起的质量问题。合同条款中标的物的质量保证期均自标的物通过最终验收备案之日起计算，工程保修按国家现行的有关规定执行，质保期届满后乙方长期优惠提供质保期外的服务。</w:t>
      </w:r>
    </w:p>
    <w:p w14:paraId="71D1412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11.2 本工程质量缺陷责任期为</w:t>
      </w:r>
      <w:r>
        <w:rPr>
          <w:rFonts w:hint="eastAsia" w:ascii="仿宋" w:hAnsi="仿宋" w:eastAsia="仿宋" w:cs="Times New Roman"/>
          <w:snapToGrid/>
          <w:color w:val="auto"/>
          <w:kern w:val="2"/>
          <w:sz w:val="24"/>
          <w:szCs w:val="24"/>
          <w:lang w:val="en-US" w:eastAsia="zh-CN"/>
        </w:rPr>
        <w:t>1</w:t>
      </w:r>
      <w:r>
        <w:rPr>
          <w:rFonts w:ascii="仿宋" w:hAnsi="仿宋" w:eastAsia="仿宋" w:cs="Times New Roman"/>
          <w:snapToGrid/>
          <w:color w:val="auto"/>
          <w:kern w:val="2"/>
          <w:sz w:val="24"/>
          <w:szCs w:val="24"/>
          <w:lang w:eastAsia="zh-CN"/>
        </w:rPr>
        <w:t>年，完工投产后的人为损坏不算质量缺陷，质量缺陷责任期满后10日内甲方无息退还3%的质保金，支付时应扣除质量缺陷责任期发生的应由乙方承担的相关费用。</w:t>
      </w:r>
    </w:p>
    <w:p w14:paraId="03BD710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11.3 在保修期内任何时候, 乙方应在接到甲方维修通知后2个工作日内进行维修，认真负责完成保修任务，维修费用由乙方承担。否则甲方有权另行安排人员进行修理，所发生的一切费用（取费按当时的市场价上浮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15A5D6C3">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第十二条  争议解决</w:t>
      </w:r>
    </w:p>
    <w:p w14:paraId="162CB9AE">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12.1 争议解决方式：（1）协商解决；（2）司法程序。</w:t>
      </w:r>
    </w:p>
    <w:p w14:paraId="4CDBFC9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12.2 如协商解决无果时，可向工程所在地人民法院提起诉讼。</w:t>
      </w:r>
    </w:p>
    <w:p w14:paraId="2E75DF0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第十三条  违约责任</w:t>
      </w:r>
    </w:p>
    <w:p w14:paraId="7AFB10B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 任何一方违反本合同约定，使本合同条款、相关协议丧失履行条件，视为完全违约，违约方需赔偿另一方因此而造成的全部直接损失，且无过错方有权终止合同。</w:t>
      </w:r>
    </w:p>
    <w:p w14:paraId="0CBE687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13.2 如乙方因自身原因不能按期完成竣工验收，除承担前述工期违约的违约金外乙方还应每天按合同总金额的万分之五向甲方支付违约金。</w:t>
      </w:r>
    </w:p>
    <w:p w14:paraId="7FBAB1C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13.3 质量：若乙方的质量问题导致工程的分部分项验收达不到合格标准者，甲方有权对乙方按500-2000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由乙方承担，工期不予顺延。</w:t>
      </w:r>
    </w:p>
    <w:p w14:paraId="384459D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13.4安全文明施工：乙方在施工过程中若出现违反国家相关法律法规及本合同中的安文明施工要求的，甲方有权视情况对乙方进行500-2000元的处罚，若因安全问题甲方被主管部门进行了处罚，罚金按1.2倍由乙方承担，在工程款中扣除。</w:t>
      </w:r>
    </w:p>
    <w:p w14:paraId="31369E70">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13.5乙方应当按照深化设计和甲方要求进行施工，不得拒绝任何单项工程施工中途甩项，否则甲方有权按相应条款中的3倍价格另行发包处理，相关费用在乙方工程款中扣除。</w:t>
      </w:r>
    </w:p>
    <w:p w14:paraId="1768FDA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13.6属于乙方工作范围内的有关收尾工作，经甲方现场施工人员口头或书面通知进行整改或完善有关工作后，乙方应在2个工作日内组织整改，否则甲方有权委派其他班组进行施工，其费用按实际发生的费用另加50%罚款在支付乙方工程款时扣除。</w:t>
      </w:r>
    </w:p>
    <w:p w14:paraId="31D8277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13.7无论任何原因，若有乙方人员影响甲方工作和生产的正常秩序、造成不良社会影响的，甲方有权解除合同，乙方应在接到甲方解除合同通知后2天内无条件退场。并赔偿甲方因此受到的损失。</w:t>
      </w:r>
    </w:p>
    <w:p w14:paraId="4C6EEFB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13.8现场全体员工必须遵章守纪，无违章指挥、违章作业行为。各级管理人员佩带证明其身份的证卡。甲方或监理检查，若承包人未按要求佩戴安全帽、安全帽则按100元/人/次承担违约金；</w:t>
      </w:r>
    </w:p>
    <w:p w14:paraId="56EF70D6">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13.9对未报审先使用的材料，将处以1000元/次，如遇特殊不能及时完善手续的情况，可以通过电话、短信、微信等通讯方式告知经同意后实施，但应及时完善报审手续。</w:t>
      </w:r>
    </w:p>
    <w:p w14:paraId="3AC8996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13.10甲指乙供或甲供的设备及材料订货进场前，乙方需向甲方提出书面申请，经甲方工程师检查符合甲方和设计文件及有关规范所规定的规格、型号、技术标准和质量标准后方可定货，否则，造成的损失由乙方负责。各种材料进场应及时报验，并由检测单位及时出具检测结果。需要报送样品的材料或工程设备，样品的种类、名称、规格、数量要求应符合甲方和设计要求。甲供材料乙方务必控制用量损耗，损耗超出定额用量部分由乙方承担责任和费用。</w:t>
      </w:r>
    </w:p>
    <w:p w14:paraId="3CB2188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13.10本合同签订后，乙方未按甲方规定的时间进场组织施工，视为乙方违约，缴纳的履约保证金甲方不予退还，给甲方造成损失，履约保证金不足以弥补甲方损失的，甲方有权向乙方追偿，因追偿产生的一切费用由乙方承担。</w:t>
      </w:r>
    </w:p>
    <w:p w14:paraId="1764B70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13.11若出现质量问题，乙方在24小时内务必响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0DCE97A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第十四条  合同的生效与终止</w:t>
      </w:r>
    </w:p>
    <w:p w14:paraId="499BE0A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14.1  本合同甲乙双方签字盖章后生效，质量缺陷期届满结清质保金后，合同失效。</w:t>
      </w:r>
    </w:p>
    <w:p w14:paraId="7C05D5A8">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14.2  本合同如有未尽事宜，双方可根据具体情况议定补充条款，作为本合同补充协议，与本合同具有同等效力。</w:t>
      </w:r>
    </w:p>
    <w:p w14:paraId="06E28552">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第十五条  其他</w:t>
      </w:r>
    </w:p>
    <w:p w14:paraId="3B2154D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15.1  施工现场不得出现聚众闹事、斗殴现象，每出现一次罚款2,000.00元，并承担所有责任范围内的民事责任和经济责任。</w:t>
      </w:r>
    </w:p>
    <w:p w14:paraId="08C14CF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15.2  凡施工现场出现盗窃事件，其损失均由乙方负责。</w:t>
      </w:r>
    </w:p>
    <w:p w14:paraId="7AB39AA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第十六条  本合同一式肆份，甲乙双方各执贰份；合同附件与合同具有同等效力，附件内容与本合同冲突的，以本合同约定内容为准。</w:t>
      </w:r>
    </w:p>
    <w:p w14:paraId="574074C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5ECC98AF">
      <w:pPr>
        <w:widowControl w:val="0"/>
        <w:tabs>
          <w:tab w:val="left" w:pos="1134"/>
        </w:tabs>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合同附件</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1</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工程质量保修书</w:t>
      </w:r>
    </w:p>
    <w:p w14:paraId="6A0A59B9">
      <w:pPr>
        <w:widowControl w:val="0"/>
        <w:kinsoku/>
        <w:autoSpaceDE/>
        <w:autoSpaceDN/>
        <w:adjustRightInd/>
        <w:snapToGrid/>
        <w:spacing w:line="400" w:lineRule="exact"/>
        <w:ind w:firstLine="1200" w:firstLineChars="5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2</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安全管理协议</w:t>
      </w:r>
    </w:p>
    <w:p w14:paraId="2A20FA7B">
      <w:pPr>
        <w:widowControl w:val="0"/>
        <w:kinsoku/>
        <w:autoSpaceDE/>
        <w:autoSpaceDN/>
        <w:adjustRightInd/>
        <w:snapToGrid/>
        <w:spacing w:line="400" w:lineRule="exact"/>
        <w:ind w:firstLine="1200" w:firstLineChars="500"/>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3</w:t>
      </w:r>
      <w:r>
        <w:rPr>
          <w:rFonts w:hint="eastAsia" w:ascii="仿宋" w:hAnsi="仿宋" w:eastAsia="仿宋" w:cs="Times New Roman"/>
          <w:snapToGrid/>
          <w:color w:val="auto"/>
          <w:kern w:val="2"/>
          <w:sz w:val="24"/>
          <w:szCs w:val="24"/>
          <w:lang w:eastAsia="zh-CN"/>
        </w:rPr>
        <w:t>.</w:t>
      </w:r>
      <w:r>
        <w:rPr>
          <w:rFonts w:ascii="仿宋" w:hAnsi="仿宋" w:eastAsia="仿宋" w:cs="Times New Roman"/>
          <w:snapToGrid/>
          <w:color w:val="auto"/>
          <w:kern w:val="2"/>
          <w:sz w:val="24"/>
          <w:szCs w:val="24"/>
          <w:lang w:eastAsia="zh-CN"/>
        </w:rPr>
        <w:t xml:space="preserve"> 保障农民工工资支付协议</w:t>
      </w:r>
    </w:p>
    <w:p w14:paraId="09995B67">
      <w:pPr>
        <w:widowControl w:val="0"/>
        <w:kinsoku/>
        <w:autoSpaceDE/>
        <w:autoSpaceDN/>
        <w:adjustRightInd/>
        <w:snapToGrid/>
        <w:spacing w:line="400" w:lineRule="exact"/>
        <w:ind w:left="1275" w:leftChars="607"/>
        <w:jc w:val="both"/>
        <w:textAlignment w:val="auto"/>
        <w:rPr>
          <w:rFonts w:hint="eastAsia" w:ascii="仿宋" w:hAnsi="仿宋" w:eastAsia="仿宋" w:cs="Times New Roman"/>
          <w:snapToGrid/>
          <w:color w:val="auto"/>
          <w:kern w:val="2"/>
          <w:sz w:val="24"/>
          <w:szCs w:val="24"/>
          <w:lang w:eastAsia="zh-CN"/>
        </w:rPr>
      </w:pPr>
    </w:p>
    <w:p w14:paraId="5B5435B7">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BA04B9F">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489D89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发包方（甲方）： 重庆理工职业学院（盖章）</w:t>
      </w:r>
    </w:p>
    <w:p w14:paraId="5EA7E31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法定代表人 / 委托代理人（签字）：</w:t>
      </w:r>
    </w:p>
    <w:p w14:paraId="69C01769">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日期： 年 月 日</w:t>
      </w:r>
    </w:p>
    <w:p w14:paraId="094F157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39F7A63D">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AAFA28A">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p>
    <w:p w14:paraId="6CB13F7C">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承包方（乙方）： （盖章）</w:t>
      </w:r>
    </w:p>
    <w:p w14:paraId="66DD6344">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法定代表人 / 委托代理人（签字）：</w:t>
      </w:r>
    </w:p>
    <w:p w14:paraId="56362535">
      <w:pPr>
        <w:widowControl w:val="0"/>
        <w:kinsoku/>
        <w:autoSpaceDE/>
        <w:autoSpaceDN/>
        <w:adjustRightInd/>
        <w:snapToGrid/>
        <w:spacing w:line="400" w:lineRule="exact"/>
        <w:jc w:val="both"/>
        <w:textAlignment w:val="auto"/>
        <w:rPr>
          <w:rFonts w:hint="eastAsia" w:ascii="仿宋" w:hAnsi="仿宋" w:eastAsia="仿宋" w:cs="Times New Roman"/>
          <w:snapToGrid/>
          <w:color w:val="auto"/>
          <w:kern w:val="2"/>
          <w:sz w:val="24"/>
          <w:szCs w:val="24"/>
          <w:lang w:eastAsia="zh-CN"/>
        </w:rPr>
      </w:pPr>
      <w:r>
        <w:rPr>
          <w:rFonts w:ascii="仿宋" w:hAnsi="仿宋" w:eastAsia="仿宋" w:cs="Times New Roman"/>
          <w:snapToGrid/>
          <w:color w:val="auto"/>
          <w:kern w:val="2"/>
          <w:sz w:val="24"/>
          <w:szCs w:val="24"/>
          <w:lang w:eastAsia="zh-CN"/>
        </w:rPr>
        <w:t>日期： 年 月 日</w:t>
      </w:r>
    </w:p>
    <w:p w14:paraId="763E459B">
      <w:pPr>
        <w:keepNext/>
        <w:keepLines/>
        <w:widowControl w:val="0"/>
        <w:kinsoku/>
        <w:autoSpaceDE/>
        <w:autoSpaceDN/>
        <w:spacing w:line="560" w:lineRule="exact"/>
        <w:jc w:val="both"/>
        <w:textAlignment w:val="auto"/>
        <w:outlineLvl w:val="1"/>
        <w:rPr>
          <w:rFonts w:hint="eastAsia" w:ascii="仿宋" w:hAnsi="仿宋" w:eastAsia="仿宋" w:cs="Times New Roman"/>
          <w:b/>
          <w:bCs/>
          <w:color w:val="auto"/>
          <w:kern w:val="2"/>
          <w:sz w:val="40"/>
          <w:szCs w:val="40"/>
          <w:lang w:eastAsia="zh-CN"/>
        </w:rPr>
      </w:pPr>
      <w:bookmarkStart w:id="134" w:name="_Toc1357"/>
      <w:bookmarkStart w:id="135" w:name="_Toc106030878"/>
      <w:bookmarkStart w:id="136" w:name="_Toc76462324"/>
      <w:bookmarkStart w:id="137" w:name="_Toc26662"/>
    </w:p>
    <w:bookmarkEnd w:id="134"/>
    <w:bookmarkEnd w:id="135"/>
    <w:bookmarkEnd w:id="136"/>
    <w:bookmarkEnd w:id="137"/>
    <w:p w14:paraId="4E0145F7">
      <w:pPr>
        <w:widowControl w:val="0"/>
        <w:kinsoku/>
        <w:spacing w:line="400" w:lineRule="exact"/>
        <w:textAlignment w:val="auto"/>
        <w:rPr>
          <w:rFonts w:hint="eastAsia" w:ascii="仿宋" w:hAnsi="仿宋" w:eastAsia="仿宋" w:cs="Times New Roman"/>
          <w:color w:val="auto"/>
          <w:sz w:val="22"/>
          <w:szCs w:val="22"/>
          <w:lang w:eastAsia="zh-CN"/>
        </w:rPr>
      </w:pPr>
    </w:p>
    <w:p w14:paraId="21E5FBE9">
      <w:pPr>
        <w:widowControl w:val="0"/>
        <w:kinsoku/>
        <w:spacing w:after="120" w:line="400" w:lineRule="exact"/>
        <w:jc w:val="both"/>
        <w:textAlignment w:val="auto"/>
        <w:rPr>
          <w:rFonts w:hint="eastAsia" w:ascii="仿宋" w:hAnsi="仿宋" w:eastAsia="仿宋" w:cs="Times New Roman"/>
          <w:kern w:val="2"/>
          <w:sz w:val="24"/>
          <w:szCs w:val="24"/>
          <w:lang w:eastAsia="zh-CN"/>
        </w:rPr>
      </w:pPr>
    </w:p>
    <w:p w14:paraId="0EFDD1B2">
      <w:pPr>
        <w:widowControl w:val="0"/>
        <w:kinsoku/>
        <w:autoSpaceDE/>
        <w:autoSpaceDN/>
        <w:adjustRightInd/>
        <w:snapToGrid/>
        <w:jc w:val="both"/>
        <w:textAlignment w:val="auto"/>
        <w:rPr>
          <w:rFonts w:hint="eastAsia" w:ascii="仿宋" w:hAnsi="仿宋" w:eastAsia="仿宋" w:cs="Times New Roman"/>
          <w:snapToGrid/>
          <w:kern w:val="2"/>
          <w:sz w:val="28"/>
          <w:szCs w:val="28"/>
          <w:lang w:eastAsia="zh-CN"/>
        </w:rPr>
      </w:pPr>
      <w:r>
        <w:rPr>
          <w:rFonts w:ascii="仿宋" w:hAnsi="仿宋" w:eastAsia="仿宋" w:cs="Times New Roman"/>
          <w:snapToGrid/>
          <w:kern w:val="2"/>
          <w:sz w:val="28"/>
          <w:szCs w:val="28"/>
          <w:lang w:eastAsia="zh-CN"/>
        </w:rPr>
        <w:br w:type="page"/>
      </w:r>
    </w:p>
    <w:p w14:paraId="3A62480C">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合同附件</w:t>
      </w:r>
      <w:r>
        <w:rPr>
          <w:rFonts w:hint="eastAsia" w:ascii="Times New Roman" w:hAnsi="Times New Roman" w:eastAsia="仿宋" w:cs="Times New Roman"/>
          <w:snapToGrid/>
          <w:kern w:val="2"/>
          <w:sz w:val="24"/>
          <w:szCs w:val="24"/>
          <w:lang w:eastAsia="zh-CN"/>
        </w:rPr>
        <w:t>1</w:t>
      </w:r>
      <w:r>
        <w:rPr>
          <w:rFonts w:ascii="Times New Roman" w:hAnsi="Times New Roman" w:eastAsia="仿宋" w:cs="Times New Roman"/>
          <w:snapToGrid/>
          <w:kern w:val="2"/>
          <w:sz w:val="24"/>
          <w:szCs w:val="24"/>
          <w:lang w:eastAsia="zh-CN"/>
        </w:rPr>
        <w:t>：</w:t>
      </w:r>
    </w:p>
    <w:p w14:paraId="69A745F8">
      <w:pPr>
        <w:spacing w:line="500" w:lineRule="exact"/>
        <w:ind w:left="-420" w:leftChars="-200" w:firstLine="0" w:firstLineChars="0"/>
        <w:jc w:val="center"/>
        <w:rPr>
          <w:rFonts w:hint="eastAsia" w:ascii="方正仿宋_GBK" w:hAnsi="Times New Roman" w:eastAsia="方正仿宋_GBK"/>
          <w:b/>
          <w:sz w:val="32"/>
          <w:szCs w:val="32"/>
        </w:rPr>
      </w:pPr>
      <w:r>
        <w:rPr>
          <w:rFonts w:hint="eastAsia" w:ascii="方正仿宋_GBK" w:hAnsi="Times New Roman" w:eastAsia="方正仿宋_GBK"/>
          <w:b/>
          <w:sz w:val="32"/>
          <w:szCs w:val="32"/>
        </w:rPr>
        <w:t>工程质量保修书</w:t>
      </w:r>
    </w:p>
    <w:p w14:paraId="00A9313B">
      <w:pPr>
        <w:pStyle w:val="2"/>
        <w:rPr>
          <w:rFonts w:hint="eastAsia"/>
        </w:rPr>
      </w:pPr>
    </w:p>
    <w:p w14:paraId="65D3CF42">
      <w:pPr>
        <w:widowControl w:val="0"/>
        <w:kinsoku/>
        <w:autoSpaceDE/>
        <w:autoSpaceDN/>
        <w:adjustRightInd/>
        <w:snapToGrid/>
        <w:spacing w:line="400" w:lineRule="exact"/>
        <w:ind w:firstLine="442" w:firstLineChars="200"/>
        <w:textAlignment w:val="auto"/>
        <w:rPr>
          <w:rFonts w:hint="eastAsia" w:ascii="Times New Roman" w:hAnsi="Times New Roman" w:eastAsia="仿宋" w:cs="Times New Roman"/>
          <w:b/>
          <w:bCs/>
          <w:snapToGrid/>
          <w:kern w:val="2"/>
          <w:sz w:val="22"/>
          <w:szCs w:val="22"/>
          <w:u w:val="single"/>
          <w:lang w:eastAsia="zh-CN"/>
        </w:rPr>
      </w:pPr>
      <w:r>
        <w:rPr>
          <w:rFonts w:hint="eastAsia" w:ascii="Times New Roman" w:hAnsi="Times New Roman" w:eastAsia="仿宋" w:cs="Times New Roman"/>
          <w:b/>
          <w:bCs/>
          <w:snapToGrid/>
          <w:kern w:val="2"/>
          <w:sz w:val="22"/>
          <w:szCs w:val="22"/>
          <w:u w:val="single"/>
          <w:lang w:eastAsia="zh-CN"/>
        </w:rPr>
        <w:t xml:space="preserve">发包人（全称）：重庆理工职业学院                     </w:t>
      </w:r>
    </w:p>
    <w:p w14:paraId="5341B56C">
      <w:pPr>
        <w:widowControl w:val="0"/>
        <w:kinsoku/>
        <w:autoSpaceDE/>
        <w:autoSpaceDN/>
        <w:adjustRightInd/>
        <w:snapToGrid/>
        <w:spacing w:line="400" w:lineRule="exact"/>
        <w:ind w:firstLine="442" w:firstLineChars="200"/>
        <w:textAlignment w:val="auto"/>
        <w:rPr>
          <w:rFonts w:hint="eastAsia" w:ascii="Times New Roman" w:hAnsi="Times New Roman" w:eastAsia="仿宋" w:cs="Times New Roman"/>
          <w:b/>
          <w:bCs/>
          <w:snapToGrid/>
          <w:kern w:val="2"/>
          <w:sz w:val="22"/>
          <w:szCs w:val="22"/>
          <w:u w:val="single"/>
          <w:lang w:eastAsia="zh-CN"/>
        </w:rPr>
      </w:pPr>
      <w:r>
        <w:rPr>
          <w:rFonts w:hint="eastAsia" w:ascii="Times New Roman" w:hAnsi="Times New Roman" w:eastAsia="仿宋" w:cs="Times New Roman"/>
          <w:b/>
          <w:bCs/>
          <w:snapToGrid/>
          <w:kern w:val="2"/>
          <w:sz w:val="22"/>
          <w:szCs w:val="22"/>
          <w:u w:val="single"/>
          <w:lang w:eastAsia="zh-CN"/>
        </w:rPr>
        <w:t xml:space="preserve">承包人（全称）：                            </w:t>
      </w:r>
    </w:p>
    <w:p w14:paraId="48DC280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为保证重庆理工职业学院半岛绿化</w:t>
      </w:r>
      <w:r>
        <w:rPr>
          <w:rFonts w:hint="eastAsia" w:ascii="Times New Roman" w:hAnsi="Times New Roman" w:eastAsia="仿宋" w:cs="Times New Roman"/>
          <w:snapToGrid/>
          <w:kern w:val="2"/>
          <w:sz w:val="22"/>
          <w:szCs w:val="22"/>
          <w:lang w:val="en-US" w:eastAsia="zh-CN"/>
        </w:rPr>
        <w:t>设计施工一体化</w:t>
      </w:r>
      <w:r>
        <w:rPr>
          <w:rFonts w:hint="eastAsia" w:ascii="Times New Roman" w:hAnsi="Times New Roman" w:eastAsia="仿宋" w:cs="Times New Roman"/>
          <w:snapToGrid/>
          <w:kern w:val="2"/>
          <w:sz w:val="22"/>
          <w:szCs w:val="22"/>
          <w:lang w:eastAsia="zh-CN"/>
        </w:rPr>
        <w:t>工程在合理使用期内正常使用，根据《中华人民共和国民法典》、国务院发布的《建设工程质量管理条例》、</w:t>
      </w:r>
      <w:r>
        <w:rPr>
          <w:rFonts w:hint="eastAsia" w:ascii="Times New Roman" w:hAnsi="Times New Roman" w:eastAsia="仿宋" w:cs="Times New Roman"/>
          <w:snapToGrid/>
          <w:kern w:val="2"/>
          <w:sz w:val="22"/>
          <w:szCs w:val="22"/>
          <w:lang w:val="en-US" w:eastAsia="zh-CN"/>
        </w:rPr>
        <w:t>行业标准及技术规范</w:t>
      </w:r>
      <w:r>
        <w:rPr>
          <w:rFonts w:hint="eastAsia" w:ascii="Times New Roman" w:hAnsi="Times New Roman" w:eastAsia="仿宋" w:cs="Times New Roman"/>
          <w:snapToGrid/>
          <w:kern w:val="2"/>
          <w:sz w:val="22"/>
          <w:szCs w:val="22"/>
          <w:lang w:eastAsia="zh-CN"/>
        </w:rPr>
        <w:t>《城市绿化工程施工及验收规范》</w:t>
      </w:r>
      <w:r>
        <w:rPr>
          <w:rFonts w:hint="eastAsia" w:ascii="Times New Roman" w:hAnsi="Times New Roman" w:eastAsia="仿宋" w:cs="Times New Roman"/>
          <w:snapToGrid/>
          <w:kern w:val="2"/>
          <w:sz w:val="22"/>
          <w:szCs w:val="22"/>
          <w:lang w:val="en-US" w:eastAsia="zh-CN"/>
        </w:rPr>
        <w:t>及</w:t>
      </w:r>
      <w:r>
        <w:rPr>
          <w:rFonts w:hint="eastAsia" w:ascii="Times New Roman" w:hAnsi="Times New Roman" w:eastAsia="仿宋" w:cs="Times New Roman"/>
          <w:snapToGrid/>
          <w:kern w:val="2"/>
          <w:sz w:val="22"/>
          <w:szCs w:val="22"/>
          <w:lang w:eastAsia="zh-CN"/>
        </w:rPr>
        <w:t>《园林绿化工程施工及验收标准》等有关法律法规及国家标准，经甲、乙双方协商一致，签订本工程质量保修书。</w:t>
      </w:r>
    </w:p>
    <w:p w14:paraId="6B0EBB89">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一、工程质量保修范围和内容</w:t>
      </w:r>
    </w:p>
    <w:p w14:paraId="670BC67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承包人在质量保修期内，按照有关法律、法规、规章的管理规定和双方约定，承担本工程质量保修责任。</w:t>
      </w:r>
    </w:p>
    <w:p w14:paraId="60A34B70">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质量保修范围包括装半岛绿化工程，以及双方约定的其他项目。具体保修的内容，双方约定如下：</w:t>
      </w:r>
    </w:p>
    <w:p w14:paraId="5393A0FC">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保修范围为设计施工图所示的全部内容（含投标书及附件部分，设计变更部分）。</w:t>
      </w:r>
    </w:p>
    <w:p w14:paraId="2119E5DE">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二、质量保修期</w:t>
      </w:r>
    </w:p>
    <w:p w14:paraId="6DCAD8A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双方根据需与《重庆理工职业学院半岛绿化</w:t>
      </w:r>
      <w:r>
        <w:rPr>
          <w:rFonts w:hint="eastAsia" w:ascii="Times New Roman" w:hAnsi="Times New Roman" w:eastAsia="仿宋" w:cs="Times New Roman"/>
          <w:snapToGrid/>
          <w:kern w:val="2"/>
          <w:sz w:val="22"/>
          <w:szCs w:val="22"/>
          <w:lang w:val="en-US" w:eastAsia="zh-CN"/>
        </w:rPr>
        <w:t>设计施工一体化</w:t>
      </w:r>
      <w:r>
        <w:rPr>
          <w:rFonts w:hint="eastAsia" w:ascii="Times New Roman" w:hAnsi="Times New Roman" w:eastAsia="仿宋" w:cs="Times New Roman"/>
          <w:snapToGrid/>
          <w:kern w:val="2"/>
          <w:sz w:val="22"/>
          <w:szCs w:val="22"/>
          <w:lang w:eastAsia="zh-CN"/>
        </w:rPr>
        <w:t>工程施工合同》中的质量</w:t>
      </w:r>
      <w:r>
        <w:rPr>
          <w:rFonts w:hint="eastAsia" w:ascii="Times New Roman" w:hAnsi="Times New Roman" w:eastAsia="仿宋" w:cs="Times New Roman"/>
          <w:snapToGrid/>
          <w:kern w:val="2"/>
          <w:sz w:val="22"/>
          <w:szCs w:val="22"/>
          <w:lang w:val="en-US" w:eastAsia="zh-CN"/>
        </w:rPr>
        <w:t>管理、</w:t>
      </w:r>
      <w:r>
        <w:rPr>
          <w:rFonts w:hint="eastAsia" w:ascii="Times New Roman" w:hAnsi="Times New Roman" w:eastAsia="仿宋" w:cs="Times New Roman"/>
          <w:snapToGrid/>
          <w:kern w:val="2"/>
          <w:sz w:val="22"/>
          <w:szCs w:val="22"/>
          <w:lang w:eastAsia="zh-CN"/>
        </w:rPr>
        <w:t>保修条款保持一致，若合同约定严于法定标准（如保修期限长于法定最低期限），以合同约定为准；若约定低于法定标准，则以法定标准为准。</w:t>
      </w:r>
    </w:p>
    <w:p w14:paraId="59F0E83E">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三、保修责任</w:t>
      </w:r>
    </w:p>
    <w:p w14:paraId="272C0092">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1.属于保修范围、内容的工程，承包人应当在接到保修通知之日起24小时内给予答复，48小时内派人保修。承包人不在约定期限内派人保修的，发包人有权委托他人修理，费用由承包人支付。</w:t>
      </w:r>
    </w:p>
    <w:p w14:paraId="2B8B43BB">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2.发生紧急抢修事故，承包人在接到事故通知后，应当立即到达事故现场抢修或委托他人修理。</w:t>
      </w:r>
    </w:p>
    <w:p w14:paraId="6EB62439">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3.对于涉及结构安全的质量问题，应当按照《房屋建筑工程质量保修办法》的规定，立即向发包人报告，采取安全防范措施；由原设计单位或者具有相应资质等级的设计单位提出保修方案，承包人实施保修。</w:t>
      </w:r>
    </w:p>
    <w:p w14:paraId="1A968844">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4.在国家规定的工程合理使用期限内，承包日内应确保其质量。因承包人原因致使工程在合理使用期限内造成人身和财产损害，承包人应承担损害赔偿责任。</w:t>
      </w:r>
    </w:p>
    <w:p w14:paraId="287BB89C">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5.质保期满后，由业主及发包人组织验收。</w:t>
      </w:r>
    </w:p>
    <w:p w14:paraId="51C1FC85">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四、质量保修金</w:t>
      </w:r>
    </w:p>
    <w:p w14:paraId="58DF5DC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本工程约定的工程质量保修金为审定结算总价的3%。</w:t>
      </w:r>
    </w:p>
    <w:p w14:paraId="3A447B17">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五、质量保修金返还</w:t>
      </w:r>
    </w:p>
    <w:p w14:paraId="781A4D14">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在保修期满后10日内，如无施工质量问题，无息返还承包人质保金。</w:t>
      </w:r>
    </w:p>
    <w:p w14:paraId="729D3E4A">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六、其它</w:t>
      </w:r>
    </w:p>
    <w:p w14:paraId="37952963">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1．本工程质量保修书，作为本项目《工程承包合同》的组成部分，与《工程承包合同》具有同等法律效力。</w:t>
      </w:r>
    </w:p>
    <w:p w14:paraId="5FE010EF">
      <w:pPr>
        <w:widowControl w:val="0"/>
        <w:kinsoku/>
        <w:autoSpaceDE/>
        <w:autoSpaceDN/>
        <w:adjustRightInd/>
        <w:snapToGrid/>
        <w:spacing w:line="400" w:lineRule="exact"/>
        <w:ind w:firstLine="440" w:firstLineChars="200"/>
        <w:textAlignment w:val="auto"/>
        <w:rPr>
          <w:rFonts w:hint="eastAsia" w:ascii="Times New Roman" w:hAnsi="Times New Roman" w:eastAsia="仿宋" w:cs="Times New Roman"/>
          <w:snapToGrid/>
          <w:kern w:val="2"/>
          <w:sz w:val="22"/>
          <w:szCs w:val="22"/>
          <w:lang w:eastAsia="zh-CN"/>
        </w:rPr>
      </w:pPr>
      <w:r>
        <w:rPr>
          <w:rFonts w:hint="eastAsia" w:ascii="Times New Roman" w:hAnsi="Times New Roman" w:eastAsia="仿宋" w:cs="Times New Roman"/>
          <w:snapToGrid/>
          <w:kern w:val="2"/>
          <w:sz w:val="22"/>
          <w:szCs w:val="22"/>
          <w:lang w:eastAsia="zh-CN"/>
        </w:rPr>
        <w:t>2．本工程质量保修书的有效期为保修期满后，质量保修金返还后失效。</w:t>
      </w:r>
    </w:p>
    <w:p w14:paraId="3017152F">
      <w:pPr>
        <w:pStyle w:val="29"/>
        <w:pageBreakBefore w:val="0"/>
        <w:widowControl w:val="0"/>
        <w:kinsoku/>
        <w:wordWrap/>
        <w:overflowPunct/>
        <w:topLinePunct w:val="0"/>
        <w:bidi w:val="0"/>
        <w:snapToGrid/>
        <w:spacing w:before="0" w:after="0" w:line="360" w:lineRule="exact"/>
        <w:ind w:left="0" w:leftChars="0" w:right="43" w:firstLine="0" w:firstLineChars="0"/>
        <w:textAlignment w:val="auto"/>
        <w:rPr>
          <w:rFonts w:hint="eastAsia" w:ascii="仿宋" w:hAnsi="仿宋" w:eastAsia="仿宋" w:cs="仿宋"/>
          <w:bCs/>
          <w:sz w:val="24"/>
          <w:szCs w:val="24"/>
        </w:rPr>
      </w:pPr>
    </w:p>
    <w:p w14:paraId="790967E5">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14353D80">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59851504">
      <w:pPr>
        <w:widowControl w:val="0"/>
        <w:kinsoku/>
        <w:snapToGrid/>
        <w:spacing w:line="400" w:lineRule="exact"/>
        <w:ind w:right="43"/>
        <w:textAlignment w:val="auto"/>
        <w:rPr>
          <w:rFonts w:ascii="Times New Roman" w:hAnsi="Times New Roman" w:eastAsia="仿宋" w:cs="Times New Roman"/>
          <w:bCs/>
          <w:sz w:val="22"/>
          <w:szCs w:val="22"/>
          <w:lang w:eastAsia="zh-CN"/>
        </w:rPr>
      </w:pPr>
    </w:p>
    <w:p w14:paraId="61841929">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发 包 人：（公章）                     </w:t>
      </w:r>
    </w:p>
    <w:p w14:paraId="23C62A84">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法定代表人：                           </w:t>
      </w:r>
    </w:p>
    <w:p w14:paraId="0459BDA8">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委托代理人：                           </w:t>
      </w:r>
    </w:p>
    <w:p w14:paraId="01CD9640">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年    月   日 </w:t>
      </w:r>
    </w:p>
    <w:p w14:paraId="4709BBEA">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5B7ACF5C">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p>
    <w:p w14:paraId="1171D49E">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 xml:space="preserve">                         </w:t>
      </w:r>
    </w:p>
    <w:p w14:paraId="56F65CDB">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承 包 人：（公章）</w:t>
      </w:r>
    </w:p>
    <w:p w14:paraId="445524E3">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法定代表人：</w:t>
      </w:r>
    </w:p>
    <w:p w14:paraId="1174DE73">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委托代理人：</w:t>
      </w:r>
    </w:p>
    <w:p w14:paraId="4B86AE47">
      <w:pPr>
        <w:widowControl w:val="0"/>
        <w:kinsoku/>
        <w:snapToGrid/>
        <w:spacing w:line="400" w:lineRule="exact"/>
        <w:ind w:right="43" w:firstLine="440" w:firstLineChars="200"/>
        <w:textAlignment w:val="auto"/>
        <w:rPr>
          <w:rFonts w:ascii="Times New Roman" w:hAnsi="Times New Roman" w:eastAsia="仿宋" w:cs="Times New Roman"/>
          <w:bCs/>
          <w:sz w:val="22"/>
          <w:szCs w:val="22"/>
          <w:lang w:eastAsia="zh-CN"/>
        </w:rPr>
      </w:pPr>
      <w:r>
        <w:rPr>
          <w:rFonts w:ascii="Times New Roman" w:hAnsi="Times New Roman" w:eastAsia="仿宋" w:cs="Times New Roman"/>
          <w:bCs/>
          <w:sz w:val="22"/>
          <w:szCs w:val="22"/>
          <w:lang w:eastAsia="zh-CN"/>
        </w:rPr>
        <w:t>年   月   日</w:t>
      </w:r>
    </w:p>
    <w:p w14:paraId="08D8C518">
      <w:pPr>
        <w:keepNext/>
        <w:keepLines/>
        <w:widowControl w:val="0"/>
        <w:kinsoku/>
        <w:snapToGrid/>
        <w:spacing w:before="260" w:after="260" w:line="400" w:lineRule="exact"/>
        <w:jc w:val="both"/>
        <w:textAlignment w:val="auto"/>
        <w:outlineLvl w:val="2"/>
        <w:rPr>
          <w:rFonts w:ascii="Times New Roman" w:hAnsi="Times New Roman" w:eastAsia="仿宋" w:cs="Times New Roman"/>
          <w:b/>
          <w:kern w:val="2"/>
          <w:sz w:val="22"/>
          <w:szCs w:val="22"/>
          <w:lang w:eastAsia="zh-CN"/>
        </w:rPr>
      </w:pPr>
      <w:bookmarkStart w:id="138" w:name="_Toc448406299"/>
      <w:bookmarkStart w:id="139" w:name="_Toc435689499"/>
      <w:bookmarkStart w:id="140" w:name="_Toc239510288"/>
      <w:bookmarkStart w:id="141" w:name="_Toc247431422"/>
      <w:bookmarkStart w:id="142" w:name="_Toc435690184"/>
      <w:bookmarkStart w:id="143" w:name="_Toc336680145"/>
    </w:p>
    <w:p w14:paraId="7F0DE163">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2"/>
          <w:szCs w:val="22"/>
          <w:lang w:eastAsia="zh-CN"/>
        </w:rPr>
      </w:pPr>
    </w:p>
    <w:p w14:paraId="528C9198">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75BA4D28">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072EE8AD">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2DA0F31D">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129B7734">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7138CD4B">
      <w:pPr>
        <w:widowControl w:val="0"/>
        <w:kinsoku/>
        <w:spacing w:after="120" w:line="400" w:lineRule="exact"/>
        <w:jc w:val="both"/>
        <w:textAlignment w:val="auto"/>
        <w:rPr>
          <w:rFonts w:ascii="Times New Roman" w:hAnsi="Times New Roman" w:eastAsia="仿宋" w:cs="Times New Roman"/>
          <w:kern w:val="2"/>
          <w:sz w:val="22"/>
          <w:szCs w:val="22"/>
          <w:lang w:eastAsia="zh-CN"/>
        </w:rPr>
      </w:pPr>
    </w:p>
    <w:p w14:paraId="5B379C43">
      <w:pPr>
        <w:rPr>
          <w:rFonts w:ascii="Times New Roman" w:hAnsi="Times New Roman" w:eastAsia="仿宋" w:cs="Times New Roman"/>
          <w:bCs/>
          <w:kern w:val="2"/>
          <w:sz w:val="22"/>
          <w:szCs w:val="22"/>
          <w:lang w:eastAsia="zh-CN"/>
        </w:rPr>
      </w:pPr>
      <w:bookmarkStart w:id="144" w:name="_Toc19973"/>
      <w:r>
        <w:rPr>
          <w:rFonts w:ascii="Times New Roman" w:hAnsi="Times New Roman" w:eastAsia="仿宋" w:cs="Times New Roman"/>
          <w:bCs/>
          <w:kern w:val="2"/>
          <w:sz w:val="22"/>
          <w:szCs w:val="22"/>
          <w:lang w:eastAsia="zh-CN"/>
        </w:rPr>
        <w:br w:type="page"/>
      </w:r>
    </w:p>
    <w:p w14:paraId="2B28BA6C">
      <w:pPr>
        <w:keepNext/>
        <w:keepLines/>
        <w:widowControl w:val="0"/>
        <w:kinsoku/>
        <w:spacing w:before="260" w:after="260" w:line="400" w:lineRule="exact"/>
        <w:jc w:val="both"/>
        <w:textAlignment w:val="auto"/>
        <w:outlineLvl w:val="2"/>
        <w:rPr>
          <w:rFonts w:ascii="Times New Roman" w:hAnsi="Times New Roman" w:eastAsia="仿宋" w:cs="Times New Roman"/>
          <w:bCs/>
          <w:kern w:val="2"/>
          <w:sz w:val="22"/>
          <w:szCs w:val="22"/>
          <w:lang w:eastAsia="zh-CN"/>
        </w:rPr>
      </w:pPr>
      <w:r>
        <w:rPr>
          <w:rFonts w:ascii="Times New Roman" w:hAnsi="Times New Roman" w:eastAsia="仿宋" w:cs="Times New Roman"/>
          <w:bCs/>
          <w:kern w:val="2"/>
          <w:sz w:val="22"/>
          <w:szCs w:val="22"/>
          <w:lang w:eastAsia="zh-CN"/>
        </w:rPr>
        <w:t>合同附件</w:t>
      </w:r>
      <w:r>
        <w:rPr>
          <w:rFonts w:hint="eastAsia" w:ascii="Times New Roman" w:hAnsi="Times New Roman" w:eastAsia="仿宋" w:cs="Times New Roman"/>
          <w:bCs/>
          <w:kern w:val="2"/>
          <w:sz w:val="22"/>
          <w:szCs w:val="22"/>
          <w:lang w:eastAsia="zh-CN"/>
        </w:rPr>
        <w:t>2</w:t>
      </w:r>
      <w:r>
        <w:rPr>
          <w:rFonts w:ascii="Times New Roman" w:hAnsi="Times New Roman" w:eastAsia="仿宋" w:cs="Times New Roman"/>
          <w:bCs/>
          <w:kern w:val="2"/>
          <w:sz w:val="22"/>
          <w:szCs w:val="22"/>
          <w:lang w:eastAsia="zh-CN"/>
        </w:rPr>
        <w:t>：</w:t>
      </w:r>
      <w:bookmarkEnd w:id="144"/>
    </w:p>
    <w:p w14:paraId="54848498">
      <w:pPr>
        <w:widowControl w:val="0"/>
        <w:kinsoku/>
        <w:autoSpaceDE/>
        <w:autoSpaceDN/>
        <w:adjustRightInd/>
        <w:snapToGrid/>
        <w:spacing w:before="120" w:beforeLines="50" w:after="120" w:afterLines="50" w:line="400" w:lineRule="exact"/>
        <w:jc w:val="center"/>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8"/>
          <w:szCs w:val="28"/>
          <w:lang w:eastAsia="zh-CN"/>
        </w:rPr>
        <w:t>安全管理协议</w:t>
      </w:r>
      <w:bookmarkEnd w:id="138"/>
      <w:bookmarkEnd w:id="139"/>
      <w:bookmarkEnd w:id="140"/>
      <w:bookmarkEnd w:id="141"/>
      <w:bookmarkEnd w:id="142"/>
      <w:bookmarkEnd w:id="143"/>
    </w:p>
    <w:p w14:paraId="7ADFA05E">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发包人（全称）：</w:t>
      </w:r>
      <w:r>
        <w:rPr>
          <w:rFonts w:ascii="Times New Roman" w:hAnsi="Times New Roman" w:eastAsia="仿宋" w:cs="Times New Roman"/>
          <w:b/>
          <w:snapToGrid/>
          <w:kern w:val="2"/>
          <w:sz w:val="22"/>
          <w:szCs w:val="22"/>
          <w:u w:val="single"/>
          <w:lang w:eastAsia="zh-CN"/>
        </w:rPr>
        <w:t xml:space="preserve">重庆理工职业学院（以下简称“发包人”）        </w:t>
      </w:r>
    </w:p>
    <w:p w14:paraId="70183E97">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承包人（全称）：</w:t>
      </w:r>
      <w:r>
        <w:rPr>
          <w:rFonts w:ascii="Times New Roman" w:hAnsi="Times New Roman" w:eastAsia="仿宋" w:cs="Times New Roman"/>
          <w:b/>
          <w:snapToGrid/>
          <w:kern w:val="2"/>
          <w:sz w:val="22"/>
          <w:szCs w:val="22"/>
          <w:u w:val="single"/>
          <w:lang w:eastAsia="zh-CN"/>
        </w:rPr>
        <w:t xml:space="preserve">                </w:t>
      </w:r>
      <w:r>
        <w:rPr>
          <w:rFonts w:ascii="Times New Roman" w:hAnsi="Times New Roman" w:eastAsia="仿宋" w:cs="Times New Roman"/>
          <w:b/>
          <w:snapToGrid/>
          <w:kern w:val="2"/>
          <w:sz w:val="22"/>
          <w:szCs w:val="22"/>
          <w:u w:val="single"/>
          <w:lang w:eastAsia="zh-Hans"/>
        </w:rPr>
        <w:t>（</w:t>
      </w:r>
      <w:r>
        <w:rPr>
          <w:rFonts w:ascii="Times New Roman" w:hAnsi="Times New Roman" w:eastAsia="仿宋" w:cs="Times New Roman"/>
          <w:b/>
          <w:snapToGrid/>
          <w:kern w:val="2"/>
          <w:sz w:val="22"/>
          <w:szCs w:val="22"/>
          <w:u w:val="single"/>
          <w:lang w:eastAsia="zh-CN"/>
        </w:rPr>
        <w:t>以下简称“承包人”）</w:t>
      </w:r>
    </w:p>
    <w:p w14:paraId="6D261E3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A620B74">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45" w:name="_Toc247431423"/>
      <w:bookmarkStart w:id="146" w:name="_Toc532375700"/>
      <w:bookmarkStart w:id="147" w:name="_Toc239510289"/>
      <w:bookmarkStart w:id="148" w:name="_Toc247418263"/>
      <w:r>
        <w:rPr>
          <w:rFonts w:ascii="Times New Roman" w:hAnsi="Times New Roman" w:eastAsia="仿宋" w:cs="Times New Roman"/>
          <w:b/>
          <w:bCs/>
          <w:snapToGrid/>
          <w:kern w:val="2"/>
          <w:sz w:val="22"/>
          <w:szCs w:val="22"/>
          <w:lang w:eastAsia="zh-CN"/>
        </w:rPr>
        <w:t>一、协议有效期限</w:t>
      </w:r>
      <w:bookmarkEnd w:id="145"/>
      <w:bookmarkEnd w:id="146"/>
      <w:bookmarkEnd w:id="147"/>
      <w:bookmarkEnd w:id="148"/>
    </w:p>
    <w:p w14:paraId="4E5E5B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本协议中所涉及的安全管理责任自合同签订之日起开始生效，至合同工程全部完工验收且经发包人与承包人签订移交协议生效后之日终止。</w:t>
      </w:r>
    </w:p>
    <w:p w14:paraId="14E908B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49" w:name="_Toc532375701"/>
      <w:bookmarkStart w:id="150" w:name="_Toc247431424"/>
      <w:bookmarkStart w:id="151" w:name="_Toc239510290"/>
      <w:bookmarkStart w:id="152" w:name="_Toc247418264"/>
      <w:r>
        <w:rPr>
          <w:rFonts w:ascii="Times New Roman" w:hAnsi="Times New Roman" w:eastAsia="仿宋" w:cs="Times New Roman"/>
          <w:b/>
          <w:bCs/>
          <w:snapToGrid/>
          <w:kern w:val="2"/>
          <w:sz w:val="22"/>
          <w:szCs w:val="22"/>
          <w:lang w:eastAsia="zh-CN"/>
        </w:rPr>
        <w:t>二、责任目标</w:t>
      </w:r>
      <w:bookmarkEnd w:id="149"/>
      <w:bookmarkEnd w:id="150"/>
      <w:bookmarkEnd w:id="151"/>
      <w:bookmarkEnd w:id="152"/>
    </w:p>
    <w:p w14:paraId="4B00AF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（一）承包人承诺承担和履行合同和发包人所规定的安全责任，且满足要求。</w:t>
      </w:r>
    </w:p>
    <w:p w14:paraId="7459728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（二）承包人的安全控制目标是确保本工程在实施过程中：</w:t>
      </w:r>
    </w:p>
    <w:p w14:paraId="268A90C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1．不发生人身重伤事故；</w:t>
      </w:r>
    </w:p>
    <w:p w14:paraId="2CE050D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2．不发生火灾事故；</w:t>
      </w:r>
    </w:p>
    <w:p w14:paraId="348A5DA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3．不发生负有同等及以上事故责任的造成人身重伤的一般交通事故；</w:t>
      </w:r>
    </w:p>
    <w:p w14:paraId="3B380B8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4．不发生集体食物中毒事件（同时5人及以上的食物中毒）；</w:t>
      </w:r>
    </w:p>
    <w:p w14:paraId="701E88B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5．不发生流行性传染病 （无甲型传染病、新冠疫情、其他常见传染病未形成多人同时患病）；</w:t>
      </w:r>
    </w:p>
    <w:p w14:paraId="5E70A6E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6．不发生重大环境污染事件（生活、工业垃圾及其他污染物造成环境污染和大面积水土流失）；</w:t>
      </w:r>
    </w:p>
    <w:p w14:paraId="22C0E46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7．不发生对施工区附近生产、生活造成重大影响的事件（如造成重大设备损坏、重大财产损失、人员伤害等）；</w:t>
      </w:r>
    </w:p>
    <w:p w14:paraId="5D08465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8．不发生治安保卫事件（构成刑事拘留及以上的事件、盗窃直接损失超过1万元人民币的事件）。</w:t>
      </w:r>
    </w:p>
    <w:p w14:paraId="217F9DE0">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53" w:name="_Toc247431425"/>
      <w:bookmarkStart w:id="154" w:name="_Toc239510291"/>
      <w:bookmarkStart w:id="155" w:name="_Toc247418265"/>
      <w:r>
        <w:rPr>
          <w:rFonts w:ascii="Times New Roman" w:hAnsi="Times New Roman" w:eastAsia="仿宋" w:cs="Times New Roman"/>
          <w:b/>
          <w:bCs/>
          <w:snapToGrid/>
          <w:kern w:val="2"/>
          <w:sz w:val="22"/>
          <w:szCs w:val="22"/>
          <w:lang w:eastAsia="zh-CN"/>
        </w:rPr>
        <w:t>（三）承包人承诺在施工中控制以下安全事故的发生：</w:t>
      </w:r>
      <w:bookmarkEnd w:id="153"/>
      <w:bookmarkEnd w:id="154"/>
      <w:bookmarkEnd w:id="155"/>
    </w:p>
    <w:p w14:paraId="37D8502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1．人员轻伤事故。</w:t>
      </w:r>
    </w:p>
    <w:p w14:paraId="008891D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2．负有同等及以上事故责任的人身轻伤交通事故。</w:t>
      </w:r>
    </w:p>
    <w:p w14:paraId="125071A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3．其他安全未遂事故和异常事件。</w:t>
      </w:r>
    </w:p>
    <w:p w14:paraId="3324C72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56" w:name="_Toc247431426"/>
      <w:bookmarkStart w:id="157" w:name="_Toc239510292"/>
      <w:bookmarkStart w:id="158" w:name="_Toc247418266"/>
      <w:bookmarkStart w:id="159" w:name="_Toc532375702"/>
      <w:r>
        <w:rPr>
          <w:rFonts w:ascii="Times New Roman" w:hAnsi="Times New Roman" w:eastAsia="仿宋" w:cs="Times New Roman"/>
          <w:b/>
          <w:bCs/>
          <w:snapToGrid/>
          <w:kern w:val="2"/>
          <w:sz w:val="22"/>
          <w:szCs w:val="22"/>
          <w:lang w:eastAsia="zh-CN"/>
        </w:rPr>
        <w:t>三、安全责任</w:t>
      </w:r>
      <w:bookmarkEnd w:id="156"/>
      <w:bookmarkEnd w:id="157"/>
      <w:bookmarkEnd w:id="158"/>
      <w:bookmarkEnd w:id="159"/>
    </w:p>
    <w:p w14:paraId="24F8B39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1．承包人负有安全生产的管理责任和直接责任。</w:t>
      </w:r>
    </w:p>
    <w:p w14:paraId="740F761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2．承包人的法人或签署合同的公司总经理或受委托的代理人对合同安全负有全面的领导责任。</w:t>
      </w:r>
    </w:p>
    <w:p w14:paraId="1031858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3．承包人项目经理对施工现场的安全工作负有全面的直接领导责任。</w:t>
      </w:r>
    </w:p>
    <w:p w14:paraId="56DCDE1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4．承包人保证执行“谁施工、谁负责”的施工安全原则。</w:t>
      </w:r>
    </w:p>
    <w:p w14:paraId="724011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5．承包人保证服从发包人对安全工作的统一协调和管理。</w:t>
      </w:r>
    </w:p>
    <w:p w14:paraId="1EE5DDF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6．承包人保证对本工程项目安全生产条件及其管理资源自行投入，保证安全资金的专款专用。</w:t>
      </w:r>
    </w:p>
    <w:p w14:paraId="73804E5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7．承包人保证建立本工程项目的安全管理体系及安全保证体系（注：项目安全管理大纲/手册、管理性的程序文件等）。</w:t>
      </w:r>
    </w:p>
    <w:p w14:paraId="1C49B5F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8．承包人保证现场的安全管理专职人员必须持有建设主管部门安全生产培训考核合格证书。</w:t>
      </w:r>
    </w:p>
    <w:p w14:paraId="52D5DF0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9．承包人保证为现场所有工作人员（含分包商员工及劳务人员）配备符合国家标准的有承包人和/或其下属分包商标志的个人基本劳动保护用品。</w:t>
      </w:r>
    </w:p>
    <w:p w14:paraId="71DAE34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10．承包人保证按照国家法律规定为现场所有工作人员（含分包商员工及劳务人员）购买意外伤害保险。</w:t>
      </w:r>
    </w:p>
    <w:p w14:paraId="754D96F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11．承包人保证施工生活营地（包括自建的和租用的营地）满足消防、安全用电、卫生防疫、防暴雨、防雷击等方面的安全要求。</w:t>
      </w:r>
    </w:p>
    <w:p w14:paraId="3CA59E4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12．承包人保证对带入现场的设备、工具、材料按照国家法规和标准进行检测、试验，并持有法定部门出具的检验证书。</w:t>
      </w:r>
    </w:p>
    <w:p w14:paraId="38B50EB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13．承包人保证制订施工现场的文明施工措施，保护环境、树木和植被，保持施工现场的良好秩序和整洁的作业环境。</w:t>
      </w:r>
    </w:p>
    <w:p w14:paraId="15013F1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14．承包人负责在施工过程中与当地政府、周边群众及其他承包商保持良好的沟通和交流。承包人遇到与周边群众发生纠纷时，应负责协调工作，确保工程能够顺利进行。</w:t>
      </w:r>
    </w:p>
    <w:p w14:paraId="6BDD53C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0" w:name="_Toc532375703"/>
      <w:bookmarkStart w:id="161" w:name="_Toc247418267"/>
      <w:bookmarkStart w:id="162" w:name="_Toc247431427"/>
      <w:bookmarkStart w:id="163" w:name="_Toc239510293"/>
      <w:r>
        <w:rPr>
          <w:rFonts w:ascii="Times New Roman" w:hAnsi="Times New Roman" w:eastAsia="仿宋" w:cs="Times New Roman"/>
          <w:b/>
          <w:bCs/>
          <w:snapToGrid/>
          <w:kern w:val="2"/>
          <w:sz w:val="22"/>
          <w:szCs w:val="22"/>
          <w:lang w:eastAsia="zh-CN"/>
        </w:rPr>
        <w:t>四、接口及协调</w:t>
      </w:r>
      <w:bookmarkEnd w:id="160"/>
      <w:bookmarkEnd w:id="161"/>
      <w:bookmarkEnd w:id="162"/>
      <w:bookmarkEnd w:id="163"/>
    </w:p>
    <w:p w14:paraId="24E4DD8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1．发包人委托监理公司对该工程实施监理，监理公司在安全管理方面代表发包人行使监督检查职能，承包人必须给予配合和支持。</w:t>
      </w:r>
    </w:p>
    <w:p w14:paraId="7B12656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2．承包人人员、车辆的出入，带入现场的设备、机具、材料，在现场使用的或直接管理的办公、生活、生产性设施的安全管理须满足发包人现场管理的基本要求。</w:t>
      </w:r>
    </w:p>
    <w:p w14:paraId="0BC9A59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3．承包人应指定专职安全管理人员与发包人委托的监理公司接口，参与安全协调和管理。安全协调和管理的内容包括职业健康、工业安全、消防安全、卫生防疫、交通安全、环境保护、治安保卫等各方面。</w:t>
      </w:r>
    </w:p>
    <w:p w14:paraId="51E380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FB3806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5．承包人指定的专职安全管理人员应与发包人委托的监理公司建立联系，在业务上接受发包人委托的监理公司的协调和指导。</w:t>
      </w:r>
    </w:p>
    <w:p w14:paraId="4451026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6．开工后承包人的专职安全管理人员应按照发包人委托的监理公司的规定，定期报送安全月度快报、季报、年报和各种专项事故报告等。</w:t>
      </w:r>
    </w:p>
    <w:p w14:paraId="72D5D1E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7．在工程实体未全部正式移交发包人施工管理部门之前，承包人依旧对施工范围内的安全管理负责。</w:t>
      </w:r>
    </w:p>
    <w:p w14:paraId="0FE181E1">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4" w:name="_Toc532375704"/>
      <w:bookmarkStart w:id="165" w:name="_Toc239510294"/>
      <w:bookmarkStart w:id="166" w:name="_Toc247431428"/>
      <w:bookmarkStart w:id="167" w:name="_Toc247418268"/>
      <w:r>
        <w:rPr>
          <w:rFonts w:ascii="Times New Roman" w:hAnsi="Times New Roman" w:eastAsia="仿宋" w:cs="Times New Roman"/>
          <w:b/>
          <w:bCs/>
          <w:snapToGrid/>
          <w:kern w:val="2"/>
          <w:sz w:val="22"/>
          <w:szCs w:val="22"/>
          <w:lang w:eastAsia="zh-CN"/>
        </w:rPr>
        <w:t>五、安全资质审查</w:t>
      </w:r>
      <w:bookmarkEnd w:id="164"/>
      <w:bookmarkEnd w:id="165"/>
      <w:bookmarkEnd w:id="166"/>
      <w:bookmarkEnd w:id="167"/>
    </w:p>
    <w:p w14:paraId="59403FD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承包人在项目开工前5个工作天内向发包人委托的监理公司提供以下安全资质供审查和存档：</w:t>
      </w:r>
    </w:p>
    <w:p w14:paraId="10DD462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1．企业安全生产许可证书复印件。</w:t>
      </w:r>
    </w:p>
    <w:p w14:paraId="13D8874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2．企业近三年的施工简历及安全施工业绩证明文件。</w:t>
      </w:r>
    </w:p>
    <w:p w14:paraId="74CB85F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3．企业主要安全管理人员（包括项目经理、专职安全管理人员）经建设主管部门安全生产知识考核合格证书。</w:t>
      </w:r>
    </w:p>
    <w:p w14:paraId="3EDF2B4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4．特种作业人员资格证书。</w:t>
      </w:r>
    </w:p>
    <w:p w14:paraId="128BEE7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5．项目安全管理机构及其人员配备（承包人必须配有专职的安全员）。</w:t>
      </w:r>
    </w:p>
    <w:p w14:paraId="1D48943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6．适用于项目的安全管理体系及保证体系文件（安全管理大纲及管理程序文件）。</w:t>
      </w:r>
    </w:p>
    <w:p w14:paraId="0469D56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68" w:name="_Toc247418269"/>
      <w:bookmarkStart w:id="169" w:name="_Toc532375705"/>
      <w:bookmarkStart w:id="170" w:name="_Toc247431429"/>
      <w:bookmarkStart w:id="171" w:name="_Toc239510295"/>
      <w:r>
        <w:rPr>
          <w:rFonts w:ascii="Times New Roman" w:hAnsi="Times New Roman" w:eastAsia="仿宋" w:cs="Times New Roman"/>
          <w:b/>
          <w:bCs/>
          <w:snapToGrid/>
          <w:kern w:val="2"/>
          <w:sz w:val="22"/>
          <w:szCs w:val="22"/>
          <w:lang w:eastAsia="zh-CN"/>
        </w:rPr>
        <w:t>六、人员基本素质</w:t>
      </w:r>
      <w:bookmarkEnd w:id="168"/>
      <w:bookmarkEnd w:id="169"/>
      <w:bookmarkEnd w:id="170"/>
      <w:bookmarkEnd w:id="171"/>
    </w:p>
    <w:p w14:paraId="6B2D5DD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承包人提供的人员必须满足下列要求：</w:t>
      </w:r>
    </w:p>
    <w:p w14:paraId="4676A1A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02470B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2．无刑事案件牵连。</w:t>
      </w:r>
    </w:p>
    <w:p w14:paraId="2103F4C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3．无吸毒、酗酒、赌博、嫖娼等恶习及违法行为。</w:t>
      </w:r>
    </w:p>
    <w:p w14:paraId="2FD2D5F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72" w:name="_Toc247418270"/>
      <w:bookmarkStart w:id="173" w:name="_Toc247431430"/>
      <w:bookmarkStart w:id="174" w:name="_Toc239510296"/>
      <w:bookmarkStart w:id="175" w:name="_Toc532375706"/>
      <w:r>
        <w:rPr>
          <w:rFonts w:ascii="Times New Roman" w:hAnsi="Times New Roman" w:eastAsia="仿宋" w:cs="Times New Roman"/>
          <w:b/>
          <w:bCs/>
          <w:snapToGrid/>
          <w:kern w:val="2"/>
          <w:sz w:val="22"/>
          <w:szCs w:val="22"/>
          <w:lang w:eastAsia="zh-CN"/>
        </w:rPr>
        <w:t>七、劳动保护</w:t>
      </w:r>
      <w:bookmarkEnd w:id="172"/>
      <w:bookmarkEnd w:id="173"/>
      <w:bookmarkEnd w:id="174"/>
      <w:bookmarkEnd w:id="175"/>
    </w:p>
    <w:p w14:paraId="4666D30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1．承包人负责为本单位任何用工形式的员工提供个人劳动保护用品（包括工作服、安全帽、安全鞋等）。</w:t>
      </w:r>
    </w:p>
    <w:p w14:paraId="71BB524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2．承包人负责向特殊工种的员工提供特殊劳动保护，否则不得从事特殊工种作业。</w:t>
      </w:r>
    </w:p>
    <w:p w14:paraId="3A50E66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3．发包人委托的监理公司有权检查承包人的个人劳动保护用品是否符合国家的相应标准。</w:t>
      </w:r>
    </w:p>
    <w:p w14:paraId="4CA3F1A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 承包人在特殊风险场所作业而需要特殊防护用品或安全仪表时，必须在上述防护用品全部到位后才能开工。</w:t>
      </w:r>
    </w:p>
    <w:p w14:paraId="4879A32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5．承包人应配备临时安全围栏、警示带、警告标志、防火布等集体防护用品。</w:t>
      </w:r>
    </w:p>
    <w:p w14:paraId="7D73E334">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76" w:name="_Toc247418271"/>
      <w:bookmarkStart w:id="177" w:name="_Toc247431431"/>
      <w:bookmarkStart w:id="178" w:name="_Toc239510297"/>
      <w:bookmarkStart w:id="179" w:name="_Toc532375707"/>
      <w:r>
        <w:rPr>
          <w:rFonts w:ascii="Times New Roman" w:hAnsi="Times New Roman" w:eastAsia="仿宋" w:cs="Times New Roman"/>
          <w:b/>
          <w:bCs/>
          <w:snapToGrid/>
          <w:kern w:val="2"/>
          <w:sz w:val="22"/>
          <w:szCs w:val="22"/>
          <w:lang w:eastAsia="zh-CN"/>
        </w:rPr>
        <w:t>八、施工机具与材料</w:t>
      </w:r>
      <w:bookmarkEnd w:id="176"/>
      <w:bookmarkEnd w:id="177"/>
      <w:bookmarkEnd w:id="178"/>
      <w:bookmarkEnd w:id="179"/>
    </w:p>
    <w:p w14:paraId="61E0474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1．承包人对带入现场的施工机械和工器具的安全负责。</w:t>
      </w:r>
    </w:p>
    <w:p w14:paraId="741ABB7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2．对于承包人带入现场的特殊工器具，如起重设备、索具、机动车辆、压缩气瓶等，承包人必须按国家法规和标准进行检测、试验，并持有法定部门出具的检验证书。</w:t>
      </w:r>
    </w:p>
    <w:p w14:paraId="4096B42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3．对于不属于法定检测的工器具，承包人也必须建立相应的管理、检测制度，这些工器具包括登高工具、脚手架材料、电动工具、安全防护设备及用具等。</w:t>
      </w:r>
    </w:p>
    <w:p w14:paraId="708AE435">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0" w:name="_Toc239510298"/>
      <w:bookmarkStart w:id="181" w:name="_Toc532375708"/>
      <w:bookmarkStart w:id="182" w:name="_Toc247431432"/>
      <w:bookmarkStart w:id="183" w:name="_Toc247418272"/>
      <w:r>
        <w:rPr>
          <w:rFonts w:ascii="Times New Roman" w:hAnsi="Times New Roman" w:eastAsia="仿宋" w:cs="Times New Roman"/>
          <w:b/>
          <w:bCs/>
          <w:snapToGrid/>
          <w:kern w:val="2"/>
          <w:sz w:val="22"/>
          <w:szCs w:val="22"/>
          <w:lang w:eastAsia="zh-CN"/>
        </w:rPr>
        <w:t>九、开工前安全条件检查</w:t>
      </w:r>
      <w:bookmarkEnd w:id="180"/>
      <w:bookmarkEnd w:id="181"/>
      <w:bookmarkEnd w:id="182"/>
      <w:bookmarkEnd w:id="183"/>
    </w:p>
    <w:p w14:paraId="1B61B87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EEFA1B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A1B276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3．发包人委托的监理公司检查发现的缺陷，承包人应在规定期限内完成整改。对于重大缺陷，发包人委托的监理公司有权要求承包人推迟开工，由此对工期产生的影响或经济损失，由承包人承担。</w:t>
      </w:r>
    </w:p>
    <w:p w14:paraId="1EC31F97">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4" w:name="_Toc247418273"/>
      <w:bookmarkStart w:id="185" w:name="_Toc247431433"/>
      <w:bookmarkStart w:id="186" w:name="_Toc239510299"/>
      <w:bookmarkStart w:id="187" w:name="_Toc532375709"/>
      <w:r>
        <w:rPr>
          <w:rFonts w:ascii="Times New Roman" w:hAnsi="Times New Roman" w:eastAsia="仿宋" w:cs="Times New Roman"/>
          <w:b/>
          <w:bCs/>
          <w:snapToGrid/>
          <w:kern w:val="2"/>
          <w:sz w:val="22"/>
          <w:szCs w:val="22"/>
          <w:lang w:eastAsia="zh-CN"/>
        </w:rPr>
        <w:t>十、安全监督</w:t>
      </w:r>
      <w:bookmarkEnd w:id="184"/>
      <w:bookmarkEnd w:id="185"/>
      <w:bookmarkEnd w:id="186"/>
      <w:bookmarkEnd w:id="187"/>
    </w:p>
    <w:p w14:paraId="3E9FABC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1．承包人应配备有满足项目安全管理需要的专职安全管理人员。</w:t>
      </w:r>
    </w:p>
    <w:p w14:paraId="0E8E264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2．承包人的专职安全管理人员必须持建设主管部门颁发的安全生产知识考核合格证书。</w:t>
      </w:r>
    </w:p>
    <w:p w14:paraId="7E5E0BC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3．承包人的专职安全管理人员在业务上接受发包人委托的监理公司和发包人安全管理部门的协调和指导。</w:t>
      </w:r>
    </w:p>
    <w:p w14:paraId="78F61F9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4．承包人应建立班前安全交底制度；施工期间坚持开展安全检查和日常安全监督并形成相应的记录。</w:t>
      </w:r>
    </w:p>
    <w:p w14:paraId="1527B9E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5．承包人应在每个作业区任命兼职安全员，赋予兼职安全员相应的授权和义务，并对兼职安全员进行定期考核。</w:t>
      </w:r>
    </w:p>
    <w:p w14:paraId="3013B41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6．承包人应接受和配合发包人专业部门及委托的监理公司的监督与安全评价。</w:t>
      </w:r>
    </w:p>
    <w:p w14:paraId="7EF1137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7．发包人和委托的监理公司有权对承包人履行安全管理协议的情况进行监督，并有权对违章行为实行停工和处罚，处罚情况将通知承包人。涉及经济处罚时将直接通知合同管理部门从合同结算中扣除。</w:t>
      </w:r>
    </w:p>
    <w:p w14:paraId="0184F47C">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88" w:name="_Toc247418274"/>
      <w:bookmarkStart w:id="189" w:name="_Toc247431434"/>
      <w:bookmarkStart w:id="190" w:name="_Toc239510300"/>
      <w:bookmarkStart w:id="191" w:name="_Toc532375710"/>
      <w:r>
        <w:rPr>
          <w:rFonts w:ascii="Times New Roman" w:hAnsi="Times New Roman" w:eastAsia="仿宋" w:cs="Times New Roman"/>
          <w:b/>
          <w:bCs/>
          <w:snapToGrid/>
          <w:kern w:val="2"/>
          <w:sz w:val="22"/>
          <w:szCs w:val="22"/>
          <w:lang w:eastAsia="zh-CN"/>
        </w:rPr>
        <w:t>十一、安全培训与授权</w:t>
      </w:r>
      <w:bookmarkEnd w:id="188"/>
      <w:bookmarkEnd w:id="189"/>
      <w:bookmarkEnd w:id="190"/>
      <w:bookmarkEnd w:id="191"/>
    </w:p>
    <w:p w14:paraId="64A3DF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1．承包人所有特殊工种人员必须持证上岗，发包人和发包人委托的监理公司有权对其进行抽查。承包人要建立特殊工种定期培训和检查计划，这些工种包括但不限于：机动车驾驶员、焊工、起重工、电工等。</w:t>
      </w:r>
    </w:p>
    <w:p w14:paraId="7DBBB91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2．承包人应在特殊工种之外的其他工种中，筛选出高风险工种，并对其开展针对性的专题安全培训。</w:t>
      </w:r>
    </w:p>
    <w:p w14:paraId="25B96EC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3．承包人应组织 “入场培训”和考核。发包人委托的监理公司有权监督培训、考核情况或组织抽查考核。</w:t>
      </w:r>
    </w:p>
    <w:p w14:paraId="55DC32E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4．承包人应建立安全培训和考核机制，编制培训教材和培训滚动计划。承包人应组织安全考试/考核，建立培训考核记录，发包人委托的监理公司有权查看这些记录。</w:t>
      </w:r>
    </w:p>
    <w:p w14:paraId="7B994A2A">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92" w:name="_Toc247418275"/>
      <w:bookmarkStart w:id="193" w:name="_Toc247431435"/>
      <w:bookmarkStart w:id="194" w:name="_Toc532375711"/>
      <w:bookmarkStart w:id="195" w:name="_Toc239510301"/>
      <w:r>
        <w:rPr>
          <w:rFonts w:ascii="Times New Roman" w:hAnsi="Times New Roman" w:eastAsia="仿宋" w:cs="Times New Roman"/>
          <w:b/>
          <w:bCs/>
          <w:snapToGrid/>
          <w:kern w:val="2"/>
          <w:sz w:val="22"/>
          <w:szCs w:val="22"/>
          <w:lang w:eastAsia="zh-CN"/>
        </w:rPr>
        <w:t>十二、职业健康与卫生防疫</w:t>
      </w:r>
      <w:bookmarkEnd w:id="192"/>
      <w:bookmarkEnd w:id="193"/>
      <w:bookmarkEnd w:id="194"/>
      <w:bookmarkEnd w:id="195"/>
    </w:p>
    <w:p w14:paraId="42BF185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1．承包人应有特殊健康检查制度，预防有禁忌症患者从事有关职业，如恐高症患者不得从事高空作业，患有心血管疾病的人员不得从事繁重的体力劳动，特殊工种人员的体检应符合国家的规定。</w:t>
      </w:r>
    </w:p>
    <w:p w14:paraId="38153E1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2．承包人应保证卫生防疫基本设施的投入，以满足医疗、急救的要求，建立外部医疗支持渠道。</w:t>
      </w:r>
    </w:p>
    <w:p w14:paraId="21FB973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p>
    <w:p w14:paraId="4BE55F9D">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196" w:name="_Toc247431436"/>
      <w:bookmarkStart w:id="197" w:name="_Toc247418276"/>
      <w:bookmarkStart w:id="198" w:name="_Toc532375712"/>
      <w:bookmarkStart w:id="199" w:name="_Toc239510302"/>
      <w:r>
        <w:rPr>
          <w:rFonts w:ascii="Times New Roman" w:hAnsi="Times New Roman" w:eastAsia="仿宋" w:cs="Times New Roman"/>
          <w:b/>
          <w:bCs/>
          <w:snapToGrid/>
          <w:kern w:val="2"/>
          <w:sz w:val="22"/>
          <w:szCs w:val="22"/>
          <w:lang w:eastAsia="zh-CN"/>
        </w:rPr>
        <w:t>十三、文明施工与环保要求</w:t>
      </w:r>
      <w:bookmarkEnd w:id="196"/>
      <w:bookmarkEnd w:id="197"/>
      <w:bookmarkEnd w:id="198"/>
      <w:bookmarkEnd w:id="199"/>
    </w:p>
    <w:p w14:paraId="3991F82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1．承包人需制订施工现场的文明施工措施，保持良好的施工现场秩序。施工现场的物料堆放要摆放整齐，安全标志和宣传标志要清楚醒目，废料、废物要分类收集，安全通道要畅通。</w:t>
      </w:r>
    </w:p>
    <w:p w14:paraId="2FEAD70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2．承包人作业时应避免建筑材料抛洒、飞扬、流淌；应尽可能降低噪音、震动。</w:t>
      </w:r>
    </w:p>
    <w:p w14:paraId="5F46F01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3．承包人应根据实际需要，在施工现场布置临时卫生设施（洗手间、卫生间等），施工作业不破坏环境卫生，不污染现场环境。</w:t>
      </w:r>
    </w:p>
    <w:p w14:paraId="3F7695E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4．承包人在施工中应充分重视对环境的保护，保护绿色植被，保护古树。施工如需伤害古树，必须报告发包人委托的监理公司，在未得到指令前，禁止擅自伤害古树。</w:t>
      </w:r>
    </w:p>
    <w:p w14:paraId="4362759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3453F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6．承包人在施工中应禁止向环境，排放工业污水、生活污水、废油或其他有害物质。</w:t>
      </w:r>
    </w:p>
    <w:p w14:paraId="028FB2F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DD20CF1">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200" w:name="_Toc247418277"/>
      <w:bookmarkStart w:id="201" w:name="_Toc239510303"/>
      <w:bookmarkStart w:id="202" w:name="_Toc532375713"/>
      <w:bookmarkStart w:id="203" w:name="_Toc247431437"/>
      <w:r>
        <w:rPr>
          <w:rFonts w:ascii="Times New Roman" w:hAnsi="Times New Roman" w:eastAsia="仿宋" w:cs="Times New Roman"/>
          <w:b/>
          <w:bCs/>
          <w:snapToGrid/>
          <w:kern w:val="2"/>
          <w:sz w:val="22"/>
          <w:szCs w:val="22"/>
          <w:lang w:eastAsia="zh-CN"/>
        </w:rPr>
        <w:t>十四、工程风险管理与事故预防</w:t>
      </w:r>
      <w:bookmarkEnd w:id="200"/>
      <w:bookmarkEnd w:id="201"/>
      <w:bookmarkEnd w:id="202"/>
      <w:bookmarkEnd w:id="203"/>
    </w:p>
    <w:p w14:paraId="5E47578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4" w:name="_Toc239510304"/>
      <w:bookmarkStart w:id="205" w:name="_Toc247431438"/>
      <w:bookmarkStart w:id="206" w:name="_Toc247418278"/>
      <w:r>
        <w:rPr>
          <w:rFonts w:ascii="Times New Roman" w:hAnsi="Times New Roman" w:eastAsia="仿宋" w:cs="Times New Roman"/>
          <w:snapToGrid/>
          <w:kern w:val="2"/>
          <w:sz w:val="22"/>
          <w:szCs w:val="22"/>
          <w:lang w:eastAsia="zh-CN"/>
        </w:rPr>
        <w:t>（一）基本要求</w:t>
      </w:r>
      <w:bookmarkEnd w:id="204"/>
      <w:bookmarkEnd w:id="205"/>
      <w:bookmarkEnd w:id="206"/>
    </w:p>
    <w:p w14:paraId="71F524E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7" w:name="_Toc532375714"/>
      <w:r>
        <w:rPr>
          <w:rFonts w:ascii="Times New Roman" w:hAnsi="Times New Roman" w:eastAsia="仿宋" w:cs="Times New Roman"/>
          <w:snapToGrid/>
          <w:kern w:val="2"/>
          <w:sz w:val="22"/>
          <w:szCs w:val="22"/>
          <w:lang w:eastAsia="zh-CN"/>
        </w:rPr>
        <w:t>1．承包人应对施工过程进行全面、深入的危险源识别和风险分析。在施工安全组织设计中提供危险源及重要危险源清单、作业风险分析报告，该报告应包括（但不限于）如下信息：</w:t>
      </w:r>
      <w:bookmarkEnd w:id="207"/>
    </w:p>
    <w:p w14:paraId="649512A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（1）高风险作业和工种清单：作业名称、类别和数量、主要事故风险。</w:t>
      </w:r>
    </w:p>
    <w:p w14:paraId="45FA343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（2）施工能源和机械的种类、数量和主要事故风险。</w:t>
      </w:r>
    </w:p>
    <w:p w14:paraId="2AB1F2C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（3）施工作业条件的类型和主要事故风险。</w:t>
      </w:r>
    </w:p>
    <w:p w14:paraId="07BAA89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（4）主要工艺过程（或施工活动）的类别及其相关的事故风险。</w:t>
      </w:r>
    </w:p>
    <w:p w14:paraId="1EE341F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（5）主要火灾危险（可燃物、点火源）。</w:t>
      </w:r>
    </w:p>
    <w:p w14:paraId="0F674E2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（6）主要自然灾害（洪水、大风、雷暴、暴雨、地质灾害等）。</w:t>
      </w:r>
    </w:p>
    <w:p w14:paraId="092E978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（7）主要环境保护事件（有害垃圾、机械的跑冒滴漏、原材料流失、水土流失等）。</w:t>
      </w:r>
    </w:p>
    <w:p w14:paraId="5B76AEB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（8）其他。</w:t>
      </w:r>
    </w:p>
    <w:p w14:paraId="731A6D1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2．承包人应针对识别出的危险源制定有针对性的事故预防措施并确保在施工中得到有效落实。</w:t>
      </w:r>
    </w:p>
    <w:p w14:paraId="57D6E7F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3．承包人应建立日常施工活动的动态作业风险分析和安全交底制度。该制度应明确规定风险分析的方法、责任和交底的内容、时间及记录。</w:t>
      </w:r>
    </w:p>
    <w:p w14:paraId="6A8CB60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bookmarkStart w:id="208" w:name="_Toc239510305"/>
      <w:bookmarkStart w:id="209" w:name="_Toc247418279"/>
      <w:bookmarkStart w:id="210" w:name="_Toc247431439"/>
      <w:r>
        <w:rPr>
          <w:rFonts w:ascii="Times New Roman" w:hAnsi="Times New Roman" w:eastAsia="仿宋" w:cs="Times New Roman"/>
          <w:snapToGrid/>
          <w:kern w:val="2"/>
          <w:sz w:val="22"/>
          <w:szCs w:val="22"/>
          <w:lang w:eastAsia="zh-CN"/>
        </w:rPr>
        <w:t>（二）现场作业基本安全条件</w:t>
      </w:r>
      <w:bookmarkEnd w:id="208"/>
      <w:bookmarkEnd w:id="209"/>
      <w:bookmarkEnd w:id="210"/>
    </w:p>
    <w:p w14:paraId="3330349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B5D421E">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bookmarkStart w:id="211" w:name="_Toc239510306"/>
      <w:bookmarkStart w:id="212" w:name="_Toc532375715"/>
      <w:bookmarkStart w:id="213" w:name="_Toc247431440"/>
      <w:bookmarkStart w:id="214" w:name="_Toc247418280"/>
      <w:r>
        <w:rPr>
          <w:rFonts w:ascii="Times New Roman" w:hAnsi="Times New Roman" w:eastAsia="仿宋" w:cs="Times New Roman"/>
          <w:b/>
          <w:bCs/>
          <w:snapToGrid/>
          <w:kern w:val="2"/>
          <w:sz w:val="22"/>
          <w:szCs w:val="22"/>
          <w:lang w:eastAsia="zh-CN"/>
        </w:rPr>
        <w:t>十五、事故报告与应急救援</w:t>
      </w:r>
      <w:bookmarkEnd w:id="211"/>
      <w:bookmarkEnd w:id="212"/>
      <w:bookmarkEnd w:id="213"/>
      <w:bookmarkEnd w:id="214"/>
    </w:p>
    <w:p w14:paraId="23BE4F8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1．承包人应制定对于未遂事故及以上级别的安全事件和事故，定期报送安全月度快报、季报、年报和各种专项事故报告等。</w:t>
      </w:r>
    </w:p>
    <w:p w14:paraId="56FD53E4">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2．承包人应建立安全事故统计记录、未遂事故统计记录、违章统计记录，并根据统计情况进行分析，并就分析结果制定相应的预防措施。</w:t>
      </w:r>
    </w:p>
    <w:p w14:paraId="4F8842F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3．承包人应建立事故应急救援机制，明确事故处置的基本原则，即现场发生事故时，首先抢救生命，向救援组织报警，并采取措施限制事故扩大。</w:t>
      </w:r>
    </w:p>
    <w:p w14:paraId="397E089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4．承包人应建立相应的应急响应组织，以便能迅速处理突发意外。</w:t>
      </w:r>
    </w:p>
    <w:p w14:paraId="331BB92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5．承包人应建立专项应急响应预案，包括重大人身伤亡事故的救护预案、火灾响应预案、“四防”预案（防风、防冻、防雷、防暴雨）、重大疫病防护预案、环境污染防护预案、地质灾害防护预案等。</w:t>
      </w:r>
    </w:p>
    <w:p w14:paraId="499A1D0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6．承包人应对应急预案进行适当演练，保证应急预案的可操作性。</w:t>
      </w:r>
    </w:p>
    <w:p w14:paraId="38576610">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7．在工地的其他施工单位发生重大事故时，承包人应无条件立即配合、支持事故抢险。</w:t>
      </w:r>
    </w:p>
    <w:p w14:paraId="0BF33E3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8．承包人必须为事故处置支付各项费用，包括受伤者的抚恤、补偿等费用，并按合同要求赔偿对发包人造成的损失。</w:t>
      </w:r>
    </w:p>
    <w:p w14:paraId="0DA6ABF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9．由于发包人原因而造成的事故，发包人应负责按事故的具体损失情况给予承包人经济赔偿。</w:t>
      </w:r>
    </w:p>
    <w:p w14:paraId="4E209A85">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10．涉及承包人员工的伤害事故，承包人除要报告发包人委托的监理公司外，还应负责按照国家、行业和本单位上级公司的要求，上报事故。</w:t>
      </w:r>
    </w:p>
    <w:p w14:paraId="53D4AE17">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bookmarkStart w:id="215" w:name="_Toc532375716"/>
      <w:bookmarkStart w:id="216" w:name="_Toc247431441"/>
      <w:bookmarkStart w:id="217" w:name="_Toc239510307"/>
      <w:bookmarkStart w:id="218" w:name="_Toc247418281"/>
      <w:r>
        <w:rPr>
          <w:rFonts w:ascii="Times New Roman" w:hAnsi="Times New Roman" w:eastAsia="仿宋" w:cs="Times New Roman"/>
          <w:b/>
          <w:bCs/>
          <w:snapToGrid/>
          <w:kern w:val="2"/>
          <w:sz w:val="22"/>
          <w:szCs w:val="22"/>
          <w:lang w:eastAsia="zh-CN"/>
        </w:rPr>
        <w:t>十六、安全业绩考核</w:t>
      </w:r>
      <w:bookmarkEnd w:id="215"/>
      <w:bookmarkEnd w:id="216"/>
      <w:bookmarkEnd w:id="217"/>
      <w:bookmarkEnd w:id="218"/>
    </w:p>
    <w:p w14:paraId="2127970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为了落实安全管理的责任，承包人在施工过程中发生安全事故时，承包人除应按国家有关规定承担责任和处罚外，发包人将按照以下标准进行考核：</w:t>
      </w:r>
    </w:p>
    <w:tbl>
      <w:tblPr>
        <w:tblStyle w:val="18"/>
        <w:tblW w:w="7005" w:type="dxa"/>
        <w:jc w:val="center"/>
        <w:tblLayout w:type="fixed"/>
        <w:tblCellMar>
          <w:top w:w="0" w:type="dxa"/>
          <w:left w:w="0" w:type="dxa"/>
          <w:bottom w:w="0" w:type="dxa"/>
          <w:right w:w="0" w:type="dxa"/>
        </w:tblCellMar>
      </w:tblPr>
      <w:tblGrid>
        <w:gridCol w:w="3240"/>
        <w:gridCol w:w="3765"/>
      </w:tblGrid>
      <w:tr w14:paraId="15BEEEF3">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D9A5E3">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BDADBC">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违约金额</w:t>
            </w:r>
          </w:p>
        </w:tc>
      </w:tr>
      <w:tr w14:paraId="26FA0A12">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19819">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较大事故</w:t>
            </w:r>
          </w:p>
        </w:tc>
        <w:tc>
          <w:tcPr>
            <w:tcW w:w="3765" w:type="dxa"/>
            <w:tcBorders>
              <w:top w:val="single" w:color="auto" w:sz="8" w:space="0"/>
              <w:left w:val="nil"/>
              <w:bottom w:val="single" w:color="auto" w:sz="8" w:space="0"/>
              <w:right w:val="single" w:color="auto" w:sz="8" w:space="0"/>
            </w:tcBorders>
            <w:vAlign w:val="center"/>
          </w:tcPr>
          <w:p w14:paraId="6194DD4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sz w:val="22"/>
                <w:szCs w:val="22"/>
                <w:lang w:eastAsia="zh-CN"/>
              </w:rPr>
              <w:t>签约合同价</w:t>
            </w:r>
            <w:r>
              <w:rPr>
                <w:rFonts w:ascii="Times New Roman" w:hAnsi="Times New Roman" w:eastAsia="仿宋" w:cs="Times New Roman"/>
                <w:snapToGrid/>
                <w:kern w:val="2"/>
                <w:sz w:val="22"/>
                <w:szCs w:val="22"/>
                <w:lang w:eastAsia="zh-CN"/>
              </w:rPr>
              <w:t>的0.5‰</w:t>
            </w:r>
          </w:p>
        </w:tc>
      </w:tr>
      <w:tr w14:paraId="240CA342">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11221">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重大事故</w:t>
            </w:r>
          </w:p>
        </w:tc>
        <w:tc>
          <w:tcPr>
            <w:tcW w:w="3765" w:type="dxa"/>
            <w:tcBorders>
              <w:top w:val="single" w:color="auto" w:sz="8" w:space="0"/>
              <w:left w:val="nil"/>
              <w:bottom w:val="single" w:color="auto" w:sz="8" w:space="0"/>
              <w:right w:val="single" w:color="auto" w:sz="8" w:space="0"/>
            </w:tcBorders>
            <w:vAlign w:val="center"/>
          </w:tcPr>
          <w:p w14:paraId="640161AA">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签约合同价的2‰</w:t>
            </w:r>
          </w:p>
        </w:tc>
      </w:tr>
      <w:tr w14:paraId="6AB89913">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DFCF0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特别重大事故</w:t>
            </w:r>
          </w:p>
        </w:tc>
        <w:tc>
          <w:tcPr>
            <w:tcW w:w="3765" w:type="dxa"/>
            <w:tcBorders>
              <w:top w:val="single" w:color="auto" w:sz="8" w:space="0"/>
              <w:left w:val="nil"/>
              <w:bottom w:val="single" w:color="auto" w:sz="8" w:space="0"/>
              <w:right w:val="single" w:color="auto" w:sz="8" w:space="0"/>
            </w:tcBorders>
            <w:vAlign w:val="center"/>
          </w:tcPr>
          <w:p w14:paraId="0C1708C8">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签约合同价的4‰</w:t>
            </w:r>
          </w:p>
        </w:tc>
      </w:tr>
    </w:tbl>
    <w:p w14:paraId="46D5657D">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（1）较大事故，是指造成3人以上10人以下死亡，或者10人以上50人以下重伤，或者1000万元以上5000万元以下直接经济损失的事故；</w:t>
      </w:r>
    </w:p>
    <w:p w14:paraId="03A3425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（2）重大事故，是指造成10人以上30人以下死亡，或者50人以上100人以下重伤，或者5000万元以上1亿元以下直接经济损失的事故；</w:t>
      </w:r>
    </w:p>
    <w:p w14:paraId="29355DA6">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（3）特别重大事故，是指造成30人以上死亡，或者100人以上重伤（包括急性工业中毒，下同），或者1亿元以上直接经济损失的事故；</w:t>
      </w:r>
    </w:p>
    <w:p w14:paraId="7F5672CE">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（4）所称的“以上”包括本数，所称的“以下”不包括本数。</w:t>
      </w:r>
    </w:p>
    <w:p w14:paraId="327F504F">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（5）如整个施工过程未发生以上安全事故，则给予承包人建安费总额的1‰的安全奖励。</w:t>
      </w:r>
    </w:p>
    <w:p w14:paraId="5938A9C2">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DD5671E">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b/>
          <w:bCs/>
          <w:snapToGrid/>
          <w:kern w:val="2"/>
          <w:sz w:val="22"/>
          <w:szCs w:val="22"/>
          <w:lang w:eastAsia="zh-CN"/>
        </w:rPr>
      </w:pPr>
      <w:bookmarkStart w:id="219" w:name="_Toc247418282"/>
      <w:bookmarkStart w:id="220" w:name="_Toc532375717"/>
      <w:bookmarkStart w:id="221" w:name="_Toc239510308"/>
      <w:bookmarkStart w:id="222" w:name="_Toc247431442"/>
      <w:r>
        <w:rPr>
          <w:rFonts w:ascii="Times New Roman" w:hAnsi="Times New Roman" w:eastAsia="仿宋" w:cs="Times New Roman"/>
          <w:b/>
          <w:bCs/>
          <w:snapToGrid/>
          <w:kern w:val="2"/>
          <w:sz w:val="22"/>
          <w:szCs w:val="22"/>
          <w:lang w:eastAsia="zh-CN"/>
        </w:rPr>
        <w:t>十七、协议条款的修订</w:t>
      </w:r>
      <w:bookmarkEnd w:id="219"/>
      <w:bookmarkEnd w:id="220"/>
      <w:bookmarkEnd w:id="221"/>
      <w:bookmarkEnd w:id="222"/>
    </w:p>
    <w:p w14:paraId="2EE1DC77">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在项目实施过程中，经双方友好协商，本协议的有关条款也可做出相应的修改。</w:t>
      </w:r>
    </w:p>
    <w:p w14:paraId="29D390BB">
      <w:pPr>
        <w:widowControl w:val="0"/>
        <w:kinsoku/>
        <w:autoSpaceDE/>
        <w:autoSpaceDN/>
        <w:adjustRightInd/>
        <w:snapToGrid/>
        <w:spacing w:line="400" w:lineRule="exact"/>
        <w:ind w:firstLine="440" w:firstLineChars="200"/>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本工程安全管理协议，由发包人、承包人双方在施工承包合同签订后7天内共同签署，作为施工合同附件。</w:t>
      </w:r>
    </w:p>
    <w:p w14:paraId="3464250F">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p>
    <w:p w14:paraId="00EE8319">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592816F8">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72060D78">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发  包  人（公章）：                               </w:t>
      </w:r>
    </w:p>
    <w:p w14:paraId="6D3FB70B">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法定代表人（签名）：                               </w:t>
      </w:r>
    </w:p>
    <w:p w14:paraId="405E03FA">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或其委托代理人（签名）   </w:t>
      </w:r>
    </w:p>
    <w:p w14:paraId="71CB65B5">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p>
    <w:p w14:paraId="2309D36E">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                         </w:t>
      </w:r>
    </w:p>
    <w:p w14:paraId="4B00F468">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承  包  人（公章）：</w:t>
      </w:r>
    </w:p>
    <w:p w14:paraId="7EAD24A0">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法定代表人（签名）：</w:t>
      </w:r>
    </w:p>
    <w:p w14:paraId="53630F13">
      <w:pPr>
        <w:widowControl w:val="0"/>
        <w:kinsoku/>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或其委托代理人（签名）：</w:t>
      </w:r>
    </w:p>
    <w:p w14:paraId="1A463CF9">
      <w:pPr>
        <w:widowControl w:val="0"/>
        <w:kinsoku/>
        <w:autoSpaceDE/>
        <w:autoSpaceDN/>
        <w:adjustRightInd/>
        <w:snapToGrid/>
        <w:jc w:val="both"/>
        <w:textAlignment w:val="auto"/>
        <w:rPr>
          <w:rFonts w:ascii="Times New Roman" w:hAnsi="Times New Roman" w:eastAsia="仿宋" w:cs="Times New Roman"/>
          <w:snapToGrid/>
          <w:kern w:val="2"/>
          <w:sz w:val="28"/>
          <w:szCs w:val="28"/>
          <w:lang w:eastAsia="zh-CN"/>
        </w:rPr>
      </w:pPr>
      <w:r>
        <w:rPr>
          <w:rFonts w:ascii="Times New Roman" w:hAnsi="Times New Roman" w:eastAsia="仿宋" w:cs="Times New Roman"/>
          <w:snapToGrid/>
          <w:kern w:val="2"/>
          <w:sz w:val="28"/>
          <w:szCs w:val="28"/>
          <w:lang w:eastAsia="zh-CN"/>
        </w:rPr>
        <w:br w:type="page"/>
      </w:r>
    </w:p>
    <w:p w14:paraId="139DD39B">
      <w:pPr>
        <w:widowControl w:val="0"/>
        <w:kinsoku/>
        <w:autoSpaceDE/>
        <w:autoSpaceDN/>
        <w:adjustRightInd/>
        <w:snapToGrid/>
        <w:spacing w:line="400" w:lineRule="exact"/>
        <w:jc w:val="both"/>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合同附件</w:t>
      </w:r>
      <w:r>
        <w:rPr>
          <w:rFonts w:hint="eastAsia" w:ascii="Times New Roman" w:hAnsi="Times New Roman" w:eastAsia="仿宋" w:cs="Times New Roman"/>
          <w:snapToGrid/>
          <w:kern w:val="2"/>
          <w:sz w:val="24"/>
          <w:szCs w:val="24"/>
          <w:lang w:eastAsia="zh-CN"/>
        </w:rPr>
        <w:t>3</w:t>
      </w:r>
      <w:r>
        <w:rPr>
          <w:rFonts w:ascii="Times New Roman" w:hAnsi="Times New Roman" w:eastAsia="仿宋" w:cs="Times New Roman"/>
          <w:snapToGrid/>
          <w:kern w:val="2"/>
          <w:sz w:val="24"/>
          <w:szCs w:val="24"/>
          <w:lang w:eastAsia="zh-CN"/>
        </w:rPr>
        <w:t>：</w:t>
      </w:r>
    </w:p>
    <w:p w14:paraId="28CBAF29">
      <w:pPr>
        <w:widowControl w:val="0"/>
        <w:kinsoku/>
        <w:autoSpaceDE/>
        <w:autoSpaceDN/>
        <w:adjustRightInd/>
        <w:snapToGrid/>
        <w:spacing w:line="400" w:lineRule="exact"/>
        <w:jc w:val="center"/>
        <w:textAlignment w:val="auto"/>
        <w:rPr>
          <w:rFonts w:ascii="Times New Roman" w:hAnsi="Times New Roman" w:eastAsia="仿宋" w:cs="Times New Roman"/>
          <w:b/>
          <w:bCs/>
          <w:snapToGrid/>
          <w:kern w:val="2"/>
          <w:sz w:val="28"/>
          <w:szCs w:val="28"/>
          <w:lang w:eastAsia="zh-CN"/>
        </w:rPr>
      </w:pPr>
      <w:r>
        <w:rPr>
          <w:rFonts w:ascii="Times New Roman" w:hAnsi="Times New Roman" w:eastAsia="仿宋" w:cs="Times New Roman"/>
          <w:b/>
          <w:bCs/>
          <w:snapToGrid/>
          <w:kern w:val="2"/>
          <w:sz w:val="28"/>
          <w:szCs w:val="28"/>
          <w:lang w:eastAsia="zh-CN"/>
        </w:rPr>
        <w:t>保障农民工工资支付协议</w:t>
      </w:r>
    </w:p>
    <w:p w14:paraId="290B872C">
      <w:pPr>
        <w:widowControl w:val="0"/>
        <w:kinsoku/>
        <w:spacing w:after="120" w:line="400" w:lineRule="exact"/>
        <w:jc w:val="both"/>
        <w:textAlignment w:val="auto"/>
        <w:rPr>
          <w:rFonts w:ascii="Times New Roman" w:hAnsi="Times New Roman" w:eastAsia="仿宋" w:cs="Times New Roman"/>
          <w:kern w:val="2"/>
          <w:sz w:val="24"/>
          <w:szCs w:val="24"/>
          <w:lang w:eastAsia="zh-CN"/>
        </w:rPr>
      </w:pPr>
    </w:p>
    <w:p w14:paraId="3A4D5D34">
      <w:pPr>
        <w:widowControl w:val="0"/>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发包人（全称）：</w:t>
      </w:r>
      <w:r>
        <w:rPr>
          <w:rFonts w:ascii="Times New Roman" w:hAnsi="Times New Roman" w:eastAsia="仿宋" w:cs="Times New Roman"/>
          <w:b/>
          <w:snapToGrid/>
          <w:kern w:val="2"/>
          <w:sz w:val="22"/>
          <w:szCs w:val="22"/>
          <w:u w:val="single"/>
          <w:lang w:eastAsia="zh-CN"/>
        </w:rPr>
        <w:t>重庆理工职业学院（以下简称“甲方”）</w:t>
      </w:r>
    </w:p>
    <w:p w14:paraId="44FD72E6">
      <w:pPr>
        <w:widowControl w:val="0"/>
        <w:tabs>
          <w:tab w:val="center" w:pos="4153"/>
        </w:tabs>
        <w:kinsoku/>
        <w:autoSpaceDE/>
        <w:autoSpaceDN/>
        <w:adjustRightInd/>
        <w:spacing w:line="400" w:lineRule="exact"/>
        <w:jc w:val="both"/>
        <w:textAlignment w:val="auto"/>
        <w:rPr>
          <w:rFonts w:ascii="Times New Roman" w:hAnsi="Times New Roman" w:eastAsia="仿宋" w:cs="Times New Roman"/>
          <w:b/>
          <w:snapToGrid/>
          <w:kern w:val="2"/>
          <w:sz w:val="22"/>
          <w:szCs w:val="22"/>
          <w:u w:val="single"/>
          <w:lang w:eastAsia="zh-CN"/>
        </w:rPr>
      </w:pPr>
      <w:r>
        <w:rPr>
          <w:rFonts w:ascii="Times New Roman" w:hAnsi="Times New Roman" w:eastAsia="仿宋" w:cs="Times New Roman"/>
          <w:b/>
          <w:snapToGrid/>
          <w:kern w:val="2"/>
          <w:sz w:val="22"/>
          <w:szCs w:val="22"/>
          <w:lang w:eastAsia="zh-CN"/>
        </w:rPr>
        <w:t>承包人（全称）：</w:t>
      </w:r>
      <w:r>
        <w:rPr>
          <w:rFonts w:ascii="Times New Roman" w:hAnsi="Times New Roman" w:eastAsia="仿宋" w:cs="Times New Roman"/>
          <w:b/>
          <w:snapToGrid/>
          <w:kern w:val="2"/>
          <w:sz w:val="22"/>
          <w:szCs w:val="22"/>
          <w:u w:val="single"/>
          <w:lang w:eastAsia="zh-CN"/>
        </w:rPr>
        <w:t xml:space="preserve">                                  </w:t>
      </w:r>
      <w:r>
        <w:rPr>
          <w:rFonts w:ascii="Times New Roman" w:hAnsi="Times New Roman" w:eastAsia="仿宋" w:cs="Times New Roman"/>
          <w:b/>
          <w:snapToGrid/>
          <w:kern w:val="2"/>
          <w:sz w:val="22"/>
          <w:szCs w:val="22"/>
          <w:u w:val="single"/>
          <w:lang w:eastAsia="zh-CN"/>
        </w:rPr>
        <w:tab/>
      </w:r>
    </w:p>
    <w:p w14:paraId="4A2DC7AF">
      <w:pPr>
        <w:widowControl w:val="0"/>
        <w:kinsoku/>
        <w:spacing w:after="120" w:line="400" w:lineRule="exact"/>
        <w:jc w:val="both"/>
        <w:textAlignment w:val="auto"/>
        <w:rPr>
          <w:rFonts w:ascii="Times New Roman" w:hAnsi="Times New Roman" w:eastAsia="仿宋" w:cs="Times New Roman"/>
          <w:kern w:val="2"/>
          <w:sz w:val="24"/>
          <w:szCs w:val="24"/>
          <w:lang w:eastAsia="zh-CN"/>
        </w:rPr>
      </w:pPr>
    </w:p>
    <w:p w14:paraId="59524E27">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458D163E">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一、</w:t>
      </w:r>
      <w:r>
        <w:rPr>
          <w:rFonts w:ascii="Times New Roman" w:hAnsi="Times New Roman" w:eastAsia="仿宋" w:cs="Times New Roman"/>
          <w:snapToGrid/>
          <w:kern w:val="2"/>
          <w:sz w:val="22"/>
          <w:szCs w:val="22"/>
          <w:lang w:eastAsia="zh-CN"/>
        </w:rPr>
        <w:t>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14:paraId="509B2DD3">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二、</w:t>
      </w:r>
      <w:r>
        <w:rPr>
          <w:rFonts w:ascii="Times New Roman" w:hAnsi="Times New Roman" w:eastAsia="仿宋" w:cs="Times New Roman"/>
          <w:snapToGrid/>
          <w:kern w:val="2"/>
          <w:sz w:val="22"/>
          <w:szCs w:val="22"/>
          <w:lang w:eastAsia="zh-CN"/>
        </w:rPr>
        <w:t>由于工程进度款申报和审查需一定时间，其与农民工工资发放时间存在一定时间的延后，乙方承诺有垫付不低于4个月农民工工资能力。</w:t>
      </w:r>
    </w:p>
    <w:p w14:paraId="6C39E7A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三、</w:t>
      </w:r>
      <w:r>
        <w:rPr>
          <w:rFonts w:ascii="Times New Roman" w:hAnsi="Times New Roman" w:eastAsia="仿宋" w:cs="Times New Roman"/>
          <w:snapToGrid/>
          <w:kern w:val="2"/>
          <w:sz w:val="22"/>
          <w:szCs w:val="22"/>
          <w:lang w:eastAsia="zh-CN"/>
        </w:rPr>
        <w:t>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14:paraId="04797A2B">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四、</w:t>
      </w:r>
      <w:r>
        <w:rPr>
          <w:rFonts w:ascii="Times New Roman" w:hAnsi="Times New Roman" w:eastAsia="仿宋" w:cs="Times New Roman"/>
          <w:snapToGrid/>
          <w:kern w:val="2"/>
          <w:sz w:val="22"/>
          <w:szCs w:val="22"/>
          <w:lang w:eastAsia="zh-CN"/>
        </w:rPr>
        <w:t>若发现承包人有下列事项的，发包人在支付当期进度款时暂扣当期应支付进度款5%比例的款项。</w:t>
      </w:r>
    </w:p>
    <w:p w14:paraId="43507E97">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 xml:space="preserve"> （一）现场检查发现项目存在拖欠农民工工资情况并经核查属实的；</w:t>
      </w:r>
    </w:p>
    <w:p w14:paraId="02153ED3">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（二）相关行政管理部门检查发现存在拖欠农民工工资情况并经核查属实的；</w:t>
      </w:r>
    </w:p>
    <w:p w14:paraId="0417E193">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（三）有拖欠农民工工资投诉事项并经核查属实的。</w:t>
      </w:r>
    </w:p>
    <w:p w14:paraId="23356B5F">
      <w:pPr>
        <w:widowControl w:val="0"/>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 xml:space="preserve"> 五、</w:t>
      </w:r>
      <w:r>
        <w:rPr>
          <w:rFonts w:ascii="Times New Roman" w:hAnsi="Times New Roman" w:eastAsia="仿宋" w:cs="Times New Roman"/>
          <w:snapToGrid/>
          <w:kern w:val="2"/>
          <w:sz w:val="22"/>
          <w:szCs w:val="22"/>
          <w:lang w:eastAsia="zh-CN"/>
        </w:rPr>
        <w:t>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364D100">
      <w:pPr>
        <w:widowControl w:val="0"/>
        <w:tabs>
          <w:tab w:val="left" w:pos="1080"/>
          <w:tab w:val="left" w:pos="1260"/>
          <w:tab w:val="left" w:pos="1440"/>
        </w:tabs>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六、</w:t>
      </w:r>
      <w:r>
        <w:rPr>
          <w:rFonts w:ascii="Times New Roman" w:hAnsi="Times New Roman" w:eastAsia="仿宋" w:cs="Times New Roman"/>
          <w:snapToGrid/>
          <w:kern w:val="2"/>
          <w:sz w:val="22"/>
          <w:szCs w:val="22"/>
          <w:lang w:eastAsia="zh-CN"/>
        </w:rPr>
        <w:t>本协议经双方法定代表人或委托代理人签名并加盖公章后生效，履行完毕后自然失效。</w:t>
      </w:r>
    </w:p>
    <w:p w14:paraId="5DB2D21D">
      <w:pPr>
        <w:widowControl w:val="0"/>
        <w:tabs>
          <w:tab w:val="left" w:pos="1080"/>
          <w:tab w:val="left" w:pos="1260"/>
          <w:tab w:val="left" w:pos="1440"/>
        </w:tabs>
        <w:kinsoku/>
        <w:autoSpaceDE/>
        <w:autoSpaceDN/>
        <w:adjustRightInd/>
        <w:snapToGrid/>
        <w:spacing w:line="400" w:lineRule="exact"/>
        <w:ind w:firstLine="442"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七</w:t>
      </w:r>
      <w:r>
        <w:rPr>
          <w:rFonts w:ascii="Times New Roman" w:hAnsi="Times New Roman" w:eastAsia="仿宋" w:cs="Times New Roman"/>
          <w:snapToGrid/>
          <w:kern w:val="2"/>
          <w:sz w:val="22"/>
          <w:szCs w:val="22"/>
          <w:lang w:eastAsia="zh-CN"/>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30339447">
      <w:pPr>
        <w:widowControl w:val="0"/>
        <w:tabs>
          <w:tab w:val="left" w:pos="1080"/>
          <w:tab w:val="left" w:pos="1260"/>
          <w:tab w:val="left" w:pos="1440"/>
        </w:tabs>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八、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14:paraId="45CC374B">
      <w:pPr>
        <w:widowControl w:val="0"/>
        <w:kinsoku/>
        <w:autoSpaceDE/>
        <w:autoSpaceDN/>
        <w:adjustRightInd/>
        <w:snapToGrid/>
        <w:spacing w:line="400" w:lineRule="exact"/>
        <w:ind w:firstLine="440" w:firstLineChars="200"/>
        <w:jc w:val="both"/>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snapToGrid/>
          <w:kern w:val="2"/>
          <w:sz w:val="22"/>
          <w:szCs w:val="22"/>
          <w:lang w:eastAsia="zh-CN"/>
        </w:rPr>
        <w:t>后附：保障农民工工资支付协议附件1：</w:t>
      </w:r>
    </w:p>
    <w:tbl>
      <w:tblPr>
        <w:tblStyle w:val="1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1F91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4672075F">
            <w:pPr>
              <w:kinsoku/>
              <w:autoSpaceDE/>
              <w:autoSpaceDN/>
              <w:adjustRightInd/>
              <w:spacing w:after="100" w:afterAutospacing="1" w:line="400" w:lineRule="exact"/>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工程名称：</w:t>
            </w:r>
          </w:p>
        </w:tc>
      </w:tr>
      <w:tr w14:paraId="32A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tcPr>
          <w:p w14:paraId="2FD3D7C9">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施工单位：</w:t>
            </w:r>
          </w:p>
        </w:tc>
        <w:tc>
          <w:tcPr>
            <w:tcW w:w="5927" w:type="dxa"/>
          </w:tcPr>
          <w:p w14:paraId="6D09F908">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p>
        </w:tc>
      </w:tr>
      <w:tr w14:paraId="781E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tcPr>
          <w:p w14:paraId="4A137BC0">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监理单位：</w:t>
            </w:r>
          </w:p>
        </w:tc>
        <w:tc>
          <w:tcPr>
            <w:tcW w:w="5927" w:type="dxa"/>
          </w:tcPr>
          <w:p w14:paraId="687F564E">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p>
        </w:tc>
      </w:tr>
      <w:tr w14:paraId="7DE8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tcPr>
          <w:p w14:paraId="52CC572B">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（项目业主单位名称）：</w:t>
            </w:r>
          </w:p>
          <w:p w14:paraId="04390170">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 xml:space="preserve">    我单位负责承建的（工程名称）无拖欠农民工资的情况，贵单位先期支付我单位的工程款已优先用于支付了农民工工资，农民工工资全部按时足额进行了发放，请贵单位予以审核。</w:t>
            </w:r>
          </w:p>
          <w:p w14:paraId="19F8DFFC">
            <w:pPr>
              <w:keepNext/>
              <w:keepLines/>
              <w:widowControl w:val="0"/>
              <w:kinsoku/>
              <w:autoSpaceDE/>
              <w:autoSpaceDN/>
              <w:adjustRightInd/>
              <w:spacing w:before="260" w:after="260" w:line="400" w:lineRule="exact"/>
              <w:jc w:val="both"/>
              <w:textAlignment w:val="auto"/>
              <w:outlineLvl w:val="2"/>
              <w:rPr>
                <w:rFonts w:ascii="Times New Roman" w:hAnsi="Times New Roman" w:eastAsia="仿宋" w:cs="Times New Roman"/>
                <w:b/>
                <w:kern w:val="2"/>
                <w:sz w:val="22"/>
                <w:szCs w:val="22"/>
                <w:lang w:eastAsia="zh-CN"/>
              </w:rPr>
            </w:pPr>
          </w:p>
          <w:p w14:paraId="7BB58628">
            <w:pPr>
              <w:kinsoku/>
              <w:autoSpaceDE/>
              <w:autoSpaceDN/>
              <w:adjustRightInd/>
              <w:spacing w:after="100" w:afterAutospacing="1" w:line="400" w:lineRule="exact"/>
              <w:ind w:firstLine="1320" w:firstLineChars="600"/>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施工单位项目负责人签名（加盖项目章）：</w:t>
            </w:r>
          </w:p>
        </w:tc>
      </w:tr>
      <w:tr w14:paraId="5F0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vAlign w:val="center"/>
          </w:tcPr>
          <w:p w14:paraId="6370CBDF">
            <w:pPr>
              <w:kinsoku/>
              <w:autoSpaceDE/>
              <w:autoSpaceDN/>
              <w:adjustRightInd/>
              <w:spacing w:after="100" w:afterAutospacing="1" w:line="400" w:lineRule="exact"/>
              <w:jc w:val="center"/>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监理单位意见：</w:t>
            </w:r>
          </w:p>
        </w:tc>
        <w:tc>
          <w:tcPr>
            <w:tcW w:w="5927" w:type="dxa"/>
          </w:tcPr>
          <w:p w14:paraId="794A0EA3">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p>
          <w:p w14:paraId="2920813F">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 xml:space="preserve">             总监签名并加盖项目章：</w:t>
            </w:r>
          </w:p>
        </w:tc>
      </w:tr>
      <w:tr w14:paraId="285E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vAlign w:val="center"/>
          </w:tcPr>
          <w:p w14:paraId="47427BCC">
            <w:pPr>
              <w:kinsoku/>
              <w:autoSpaceDE/>
              <w:autoSpaceDN/>
              <w:adjustRightInd/>
              <w:spacing w:after="100" w:afterAutospacing="1" w:line="400" w:lineRule="exact"/>
              <w:jc w:val="center"/>
              <w:textAlignment w:val="auto"/>
              <w:rPr>
                <w:rFonts w:ascii="Times New Roman" w:hAnsi="Times New Roman" w:eastAsia="仿宋" w:cs="Times New Roman"/>
                <w:snapToGrid/>
                <w:sz w:val="22"/>
                <w:szCs w:val="22"/>
                <w:lang w:eastAsia="zh-CN"/>
              </w:rPr>
            </w:pPr>
            <w:r>
              <w:rPr>
                <w:rFonts w:ascii="Times New Roman" w:hAnsi="Times New Roman" w:eastAsia="仿宋" w:cs="Times New Roman"/>
                <w:snapToGrid/>
                <w:sz w:val="22"/>
                <w:szCs w:val="22"/>
                <w:lang w:eastAsia="zh-CN"/>
              </w:rPr>
              <w:t>工程部项目负责人意见：</w:t>
            </w:r>
          </w:p>
        </w:tc>
        <w:tc>
          <w:tcPr>
            <w:tcW w:w="5927" w:type="dxa"/>
          </w:tcPr>
          <w:p w14:paraId="5C942297">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p>
          <w:p w14:paraId="39FFE0C2">
            <w:pPr>
              <w:kinsoku/>
              <w:autoSpaceDE/>
              <w:autoSpaceDN/>
              <w:adjustRightInd/>
              <w:spacing w:after="100" w:afterAutospacing="1" w:line="400" w:lineRule="exact"/>
              <w:jc w:val="both"/>
              <w:textAlignment w:val="auto"/>
              <w:rPr>
                <w:rFonts w:ascii="Times New Roman" w:hAnsi="Times New Roman" w:eastAsia="仿宋" w:cs="Times New Roman"/>
                <w:snapToGrid/>
                <w:sz w:val="22"/>
                <w:szCs w:val="22"/>
                <w:u w:val="single"/>
                <w:lang w:eastAsia="zh-CN"/>
              </w:rPr>
            </w:pPr>
            <w:r>
              <w:rPr>
                <w:rFonts w:ascii="Times New Roman" w:hAnsi="Times New Roman" w:eastAsia="仿宋" w:cs="Times New Roman"/>
                <w:snapToGrid/>
                <w:sz w:val="22"/>
                <w:szCs w:val="22"/>
                <w:lang w:eastAsia="zh-CN"/>
              </w:rPr>
              <w:t xml:space="preserve">                   项目负责人签名：</w:t>
            </w:r>
          </w:p>
        </w:tc>
      </w:tr>
    </w:tbl>
    <w:p w14:paraId="44D08F07">
      <w:pPr>
        <w:widowControl w:val="0"/>
        <w:kinsoku/>
        <w:autoSpaceDE/>
        <w:autoSpaceDN/>
        <w:adjustRightInd/>
        <w:snapToGrid/>
        <w:spacing w:line="400" w:lineRule="exact"/>
        <w:ind w:firstLine="442" w:firstLineChars="200"/>
        <w:textAlignment w:val="auto"/>
        <w:rPr>
          <w:rFonts w:ascii="Times New Roman" w:hAnsi="Times New Roman" w:eastAsia="仿宋" w:cs="Times New Roman"/>
          <w:b/>
          <w:bCs/>
          <w:snapToGrid/>
          <w:kern w:val="2"/>
          <w:sz w:val="22"/>
          <w:szCs w:val="22"/>
          <w:lang w:eastAsia="zh-CN"/>
        </w:rPr>
      </w:pPr>
    </w:p>
    <w:p w14:paraId="100BE3BA">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发  包  人（公章）：                </w:t>
      </w:r>
    </w:p>
    <w:p w14:paraId="332C046D">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 xml:space="preserve">法定代表人（签名）：               </w:t>
      </w:r>
    </w:p>
    <w:p w14:paraId="3AB2A9BB">
      <w:pPr>
        <w:widowControl w:val="0"/>
        <w:kinsoku/>
        <w:autoSpaceDE/>
        <w:autoSpaceDN/>
        <w:adjustRightInd/>
        <w:snapToGrid/>
        <w:spacing w:line="400" w:lineRule="exact"/>
        <w:textAlignment w:val="auto"/>
        <w:rPr>
          <w:rFonts w:ascii="Times New Roman" w:hAnsi="Times New Roman" w:eastAsia="仿宋" w:cs="Times New Roman"/>
          <w:snapToGrid/>
          <w:kern w:val="2"/>
          <w:sz w:val="22"/>
          <w:szCs w:val="22"/>
          <w:lang w:eastAsia="zh-CN"/>
        </w:rPr>
      </w:pPr>
      <w:r>
        <w:rPr>
          <w:rFonts w:ascii="Times New Roman" w:hAnsi="Times New Roman" w:eastAsia="仿宋" w:cs="Times New Roman"/>
          <w:b/>
          <w:bCs/>
          <w:snapToGrid/>
          <w:kern w:val="2"/>
          <w:sz w:val="22"/>
          <w:szCs w:val="22"/>
          <w:lang w:eastAsia="zh-CN"/>
        </w:rPr>
        <w:t xml:space="preserve">或其委托代理人（签名）          </w:t>
      </w:r>
    </w:p>
    <w:p w14:paraId="7326467E">
      <w:pPr>
        <w:shd w:val="clear" w:color="auto" w:fill="FFFFFF"/>
        <w:kinsoku/>
        <w:autoSpaceDE/>
        <w:autoSpaceDN/>
        <w:adjustRightInd/>
        <w:spacing w:line="400" w:lineRule="exact"/>
        <w:ind w:right="300"/>
        <w:jc w:val="both"/>
        <w:textAlignment w:val="auto"/>
        <w:rPr>
          <w:rFonts w:ascii="Times New Roman" w:hAnsi="Times New Roman" w:eastAsia="仿宋" w:cs="Times New Roman"/>
          <w:sz w:val="22"/>
          <w:szCs w:val="22"/>
          <w:shd w:val="clear" w:color="auto" w:fill="FFFFFF"/>
          <w:lang w:eastAsia="zh-CN"/>
        </w:rPr>
      </w:pPr>
    </w:p>
    <w:p w14:paraId="1E6B4EA1">
      <w:pPr>
        <w:shd w:val="clear" w:color="auto" w:fill="FFFFFF"/>
        <w:kinsoku/>
        <w:autoSpaceDE/>
        <w:autoSpaceDN/>
        <w:adjustRightInd/>
        <w:spacing w:line="400" w:lineRule="exact"/>
        <w:ind w:right="300"/>
        <w:jc w:val="both"/>
        <w:textAlignment w:val="auto"/>
        <w:rPr>
          <w:rFonts w:ascii="Times New Roman" w:hAnsi="Times New Roman" w:eastAsia="仿宋" w:cs="Times New Roman"/>
          <w:sz w:val="22"/>
          <w:szCs w:val="22"/>
          <w:shd w:val="clear" w:color="auto" w:fill="FFFFFF"/>
          <w:lang w:eastAsia="zh-CN"/>
        </w:rPr>
      </w:pPr>
    </w:p>
    <w:p w14:paraId="15B43DE6">
      <w:pPr>
        <w:widowControl w:val="0"/>
        <w:kinsoku/>
        <w:autoSpaceDE/>
        <w:autoSpaceDN/>
        <w:adjustRightInd/>
        <w:snapToGrid/>
        <w:spacing w:line="400" w:lineRule="exact"/>
        <w:textAlignment w:val="auto"/>
        <w:rPr>
          <w:rFonts w:ascii="Times New Roman" w:hAnsi="Times New Roman" w:eastAsia="仿宋" w:cs="Times New Roman"/>
          <w:b/>
          <w:bCs/>
          <w:snapToGrid/>
          <w:kern w:val="2"/>
          <w:sz w:val="22"/>
          <w:szCs w:val="22"/>
          <w:lang w:eastAsia="zh-CN"/>
        </w:rPr>
      </w:pPr>
      <w:r>
        <w:rPr>
          <w:rFonts w:ascii="Times New Roman" w:hAnsi="Times New Roman" w:eastAsia="仿宋" w:cs="Times New Roman"/>
          <w:b/>
          <w:bCs/>
          <w:snapToGrid/>
          <w:kern w:val="2"/>
          <w:sz w:val="22"/>
          <w:szCs w:val="22"/>
          <w:lang w:eastAsia="zh-CN"/>
        </w:rPr>
        <w:t>承  包  人（公章）：</w:t>
      </w:r>
    </w:p>
    <w:p w14:paraId="3EB75801">
      <w:pPr>
        <w:widowControl w:val="0"/>
        <w:kinsoku/>
        <w:autoSpaceDE/>
        <w:autoSpaceDN/>
        <w:adjustRightInd/>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法定代表人（签名）：</w:t>
      </w:r>
    </w:p>
    <w:p w14:paraId="1AB7E1BA">
      <w:pPr>
        <w:widowControl w:val="0"/>
        <w:kinsoku/>
        <w:autoSpaceDE/>
        <w:autoSpaceDN/>
        <w:adjustRightInd/>
        <w:spacing w:after="120" w:line="400" w:lineRule="exact"/>
        <w:jc w:val="both"/>
        <w:textAlignment w:val="auto"/>
        <w:rPr>
          <w:rFonts w:ascii="Times New Roman" w:hAnsi="Times New Roman" w:eastAsia="仿宋" w:cs="Times New Roman"/>
          <w:b/>
          <w:bCs/>
          <w:kern w:val="2"/>
          <w:sz w:val="22"/>
          <w:szCs w:val="22"/>
          <w:lang w:eastAsia="zh-CN"/>
        </w:rPr>
      </w:pPr>
      <w:r>
        <w:rPr>
          <w:rFonts w:ascii="Times New Roman" w:hAnsi="Times New Roman" w:eastAsia="仿宋" w:cs="Times New Roman"/>
          <w:b/>
          <w:bCs/>
          <w:kern w:val="2"/>
          <w:sz w:val="22"/>
          <w:szCs w:val="22"/>
          <w:lang w:eastAsia="zh-CN"/>
        </w:rPr>
        <w:t>或其委托代理人（签名）：</w:t>
      </w:r>
    </w:p>
    <w:p w14:paraId="1B5B5B5D">
      <w:pPr>
        <w:rPr>
          <w:rFonts w:ascii="Times New Roman" w:hAnsi="Times New Roman" w:eastAsia="仿宋" w:cs="Times New Roman"/>
          <w:b/>
          <w:bCs/>
          <w:color w:val="auto"/>
          <w:sz w:val="32"/>
          <w:szCs w:val="32"/>
          <w:lang w:eastAsia="zh-CN"/>
        </w:rPr>
      </w:pPr>
      <w:r>
        <w:rPr>
          <w:rFonts w:ascii="Times New Roman" w:hAnsi="Times New Roman" w:eastAsia="仿宋" w:cs="Times New Roman"/>
          <w:b/>
          <w:bCs/>
          <w:color w:val="auto"/>
          <w:sz w:val="32"/>
          <w:szCs w:val="32"/>
          <w:lang w:eastAsia="zh-CN"/>
        </w:rPr>
        <w:br w:type="page"/>
      </w:r>
    </w:p>
    <w:p w14:paraId="1ACCBA81">
      <w:pPr>
        <w:spacing w:line="360" w:lineRule="auto"/>
        <w:jc w:val="center"/>
        <w:rPr>
          <w:rFonts w:ascii="Times New Roman" w:hAnsi="Times New Roman" w:eastAsia="黑体" w:cs="Times New Roman"/>
          <w:b/>
          <w:bCs/>
          <w:color w:val="auto"/>
          <w:sz w:val="32"/>
          <w:szCs w:val="32"/>
          <w:lang w:eastAsia="zh-CN"/>
        </w:rPr>
      </w:pPr>
      <w:r>
        <w:rPr>
          <w:rFonts w:ascii="Times New Roman" w:hAnsi="Times New Roman" w:eastAsia="黑体" w:cs="Times New Roman"/>
          <w:b/>
          <w:bCs/>
          <w:color w:val="auto"/>
          <w:sz w:val="32"/>
          <w:szCs w:val="32"/>
          <w:lang w:eastAsia="zh-CN"/>
        </w:rPr>
        <w:t>第七篇  响应文件格式要求</w:t>
      </w:r>
      <w:bookmarkEnd w:id="128"/>
      <w:bookmarkEnd w:id="129"/>
      <w:bookmarkEnd w:id="130"/>
      <w:bookmarkEnd w:id="131"/>
      <w:bookmarkEnd w:id="132"/>
      <w:bookmarkEnd w:id="133"/>
    </w:p>
    <w:p w14:paraId="3B1BB7C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一、经济部分</w:t>
      </w:r>
    </w:p>
    <w:p w14:paraId="31667A7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（一）报价函</w:t>
      </w:r>
    </w:p>
    <w:p w14:paraId="4374853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（二）明细报价表</w:t>
      </w:r>
    </w:p>
    <w:p w14:paraId="32CC950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二、技术需求部分</w:t>
      </w:r>
    </w:p>
    <w:p w14:paraId="6D7E0C8D">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（一）技术需求响应偏离表</w:t>
      </w:r>
    </w:p>
    <w:p w14:paraId="7E543D59">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三、商务需求部分</w:t>
      </w:r>
    </w:p>
    <w:p w14:paraId="3A9987AE">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（一）商务需求响应偏离表</w:t>
      </w:r>
    </w:p>
    <w:p w14:paraId="682756F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四、资格条件及其他</w:t>
      </w:r>
    </w:p>
    <w:p w14:paraId="4840F0B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（一）法人营业执照（副本）或事业单位法人证书（副本）或个体工商户营业执照或有效的自然人身份证明或社会团体法人登记证书</w:t>
      </w:r>
    </w:p>
    <w:p w14:paraId="7E6071C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（二）法定代表人身份证明书（格式）</w:t>
      </w:r>
    </w:p>
    <w:p w14:paraId="54F9C77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（三）法定代表人授权委托书（格式）</w:t>
      </w:r>
    </w:p>
    <w:p w14:paraId="0D6526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（四）基本资格条件承诺函（格式）</w:t>
      </w:r>
    </w:p>
    <w:p w14:paraId="7C81C36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（五）特定资格条件证书或证明文件</w:t>
      </w:r>
    </w:p>
    <w:p w14:paraId="193313C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五、其他资料</w:t>
      </w:r>
    </w:p>
    <w:p w14:paraId="4DB0CFA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w:t>
      </w:r>
      <w:r>
        <w:rPr>
          <w:rFonts w:hint="eastAsia" w:ascii="Times New Roman" w:hAnsi="Times New Roman" w:eastAsia="仿宋" w:cs="Times New Roman"/>
          <w:color w:val="auto"/>
          <w:sz w:val="24"/>
          <w:szCs w:val="24"/>
          <w:lang w:eastAsia="zh-CN"/>
        </w:rPr>
        <w:t>承诺书</w:t>
      </w:r>
    </w:p>
    <w:p w14:paraId="578A716A">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（二）</w:t>
      </w:r>
      <w:r>
        <w:rPr>
          <w:rFonts w:ascii="Times New Roman" w:hAnsi="Times New Roman" w:eastAsia="仿宋" w:cs="Times New Roman"/>
          <w:color w:val="auto"/>
          <w:sz w:val="24"/>
          <w:szCs w:val="24"/>
          <w:lang w:eastAsia="zh-CN"/>
        </w:rPr>
        <w:t>其他与项目有关的资料（自附）</w:t>
      </w:r>
      <w:bookmarkStart w:id="223" w:name="_Toc313888360"/>
      <w:bookmarkStart w:id="224" w:name="_Toc106034808"/>
      <w:bookmarkStart w:id="225" w:name="_Toc30982"/>
      <w:bookmarkStart w:id="226" w:name="_Toc14244"/>
      <w:bookmarkStart w:id="227" w:name="_Toc12789073"/>
      <w:bookmarkStart w:id="228" w:name="_Toc26343"/>
      <w:bookmarkStart w:id="229" w:name="_Toc283382454"/>
      <w:bookmarkStart w:id="230" w:name="_Toc65660379"/>
      <w:bookmarkStart w:id="231" w:name="_Toc313008356"/>
      <w:bookmarkStart w:id="232" w:name="_Toc342913419"/>
    </w:p>
    <w:p w14:paraId="752DCB38">
      <w:pPr>
        <w:spacing w:line="360" w:lineRule="auto"/>
        <w:ind w:firstLine="480"/>
        <w:jc w:val="both"/>
        <w:rPr>
          <w:rFonts w:ascii="Times New Roman" w:hAnsi="Times New Roman" w:eastAsia="仿宋" w:cs="Times New Roman"/>
          <w:color w:val="auto"/>
          <w:sz w:val="24"/>
          <w:szCs w:val="24"/>
          <w:lang w:eastAsia="zh-CN"/>
        </w:rPr>
      </w:pPr>
    </w:p>
    <w:p w14:paraId="78DA09C5">
      <w:pPr>
        <w:spacing w:line="360" w:lineRule="auto"/>
        <w:ind w:firstLine="480"/>
        <w:jc w:val="both"/>
        <w:rPr>
          <w:rFonts w:ascii="Times New Roman" w:hAnsi="Times New Roman" w:eastAsia="仿宋" w:cs="Times New Roman"/>
          <w:color w:val="auto"/>
          <w:sz w:val="24"/>
          <w:szCs w:val="24"/>
          <w:lang w:eastAsia="zh-CN"/>
        </w:rPr>
      </w:pPr>
    </w:p>
    <w:p w14:paraId="5FB5B018">
      <w:pPr>
        <w:spacing w:line="360" w:lineRule="auto"/>
        <w:ind w:firstLine="480"/>
        <w:jc w:val="both"/>
        <w:rPr>
          <w:rFonts w:ascii="Times New Roman" w:hAnsi="Times New Roman" w:eastAsia="仿宋" w:cs="Times New Roman"/>
          <w:color w:val="auto"/>
          <w:sz w:val="24"/>
          <w:szCs w:val="24"/>
          <w:lang w:eastAsia="zh-CN"/>
        </w:rPr>
      </w:pPr>
    </w:p>
    <w:p w14:paraId="5831675A">
      <w:pPr>
        <w:spacing w:line="360" w:lineRule="auto"/>
        <w:ind w:firstLine="480"/>
        <w:jc w:val="both"/>
        <w:rPr>
          <w:rFonts w:ascii="Times New Roman" w:hAnsi="Times New Roman" w:eastAsia="仿宋" w:cs="Times New Roman"/>
          <w:color w:val="auto"/>
          <w:sz w:val="24"/>
          <w:szCs w:val="24"/>
          <w:lang w:eastAsia="zh-CN"/>
        </w:rPr>
      </w:pPr>
    </w:p>
    <w:p w14:paraId="7A56D157">
      <w:pPr>
        <w:spacing w:line="360" w:lineRule="auto"/>
        <w:ind w:firstLine="480"/>
        <w:jc w:val="both"/>
        <w:rPr>
          <w:rFonts w:ascii="Times New Roman" w:hAnsi="Times New Roman" w:eastAsia="仿宋" w:cs="Times New Roman"/>
          <w:color w:val="auto"/>
          <w:sz w:val="24"/>
          <w:szCs w:val="24"/>
          <w:lang w:eastAsia="zh-CN"/>
        </w:rPr>
      </w:pPr>
    </w:p>
    <w:p w14:paraId="6FA9FB27">
      <w:pPr>
        <w:spacing w:line="360" w:lineRule="auto"/>
        <w:ind w:firstLine="480"/>
        <w:jc w:val="both"/>
        <w:rPr>
          <w:rFonts w:ascii="Times New Roman" w:hAnsi="Times New Roman" w:eastAsia="仿宋" w:cs="Times New Roman"/>
          <w:color w:val="auto"/>
          <w:sz w:val="24"/>
          <w:szCs w:val="24"/>
          <w:lang w:eastAsia="zh-CN"/>
        </w:rPr>
      </w:pPr>
    </w:p>
    <w:p w14:paraId="6714ED71">
      <w:pPr>
        <w:spacing w:line="360" w:lineRule="auto"/>
        <w:ind w:firstLine="480"/>
        <w:jc w:val="both"/>
        <w:rPr>
          <w:rFonts w:ascii="Times New Roman" w:hAnsi="Times New Roman" w:eastAsia="仿宋" w:cs="Times New Roman"/>
          <w:color w:val="auto"/>
          <w:sz w:val="24"/>
          <w:szCs w:val="24"/>
          <w:lang w:eastAsia="zh-CN"/>
        </w:rPr>
      </w:pPr>
    </w:p>
    <w:p w14:paraId="28E60602">
      <w:pPr>
        <w:spacing w:line="360" w:lineRule="auto"/>
        <w:ind w:firstLine="480"/>
        <w:jc w:val="both"/>
        <w:rPr>
          <w:rFonts w:ascii="Times New Roman" w:hAnsi="Times New Roman" w:eastAsia="仿宋" w:cs="Times New Roman"/>
          <w:color w:val="auto"/>
          <w:sz w:val="24"/>
          <w:szCs w:val="24"/>
          <w:lang w:eastAsia="zh-CN"/>
        </w:rPr>
      </w:pPr>
    </w:p>
    <w:p w14:paraId="1B813B2B">
      <w:pPr>
        <w:spacing w:line="360" w:lineRule="auto"/>
        <w:ind w:firstLine="480"/>
        <w:jc w:val="both"/>
        <w:rPr>
          <w:rFonts w:ascii="Times New Roman" w:hAnsi="Times New Roman" w:eastAsia="仿宋" w:cs="Times New Roman"/>
          <w:color w:val="auto"/>
          <w:sz w:val="24"/>
          <w:szCs w:val="24"/>
          <w:lang w:eastAsia="zh-CN"/>
        </w:rPr>
      </w:pPr>
    </w:p>
    <w:p w14:paraId="47C79C30">
      <w:pPr>
        <w:spacing w:line="360" w:lineRule="auto"/>
        <w:ind w:firstLine="480"/>
        <w:jc w:val="both"/>
        <w:rPr>
          <w:rFonts w:ascii="Times New Roman" w:hAnsi="Times New Roman" w:eastAsia="仿宋" w:cs="Times New Roman"/>
          <w:color w:val="auto"/>
          <w:sz w:val="24"/>
          <w:szCs w:val="24"/>
          <w:lang w:eastAsia="zh-CN"/>
        </w:rPr>
      </w:pPr>
    </w:p>
    <w:p w14:paraId="4FBFC6C9">
      <w:pPr>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0B39F5B3">
      <w:pPr>
        <w:spacing w:line="360" w:lineRule="auto"/>
        <w:ind w:firstLine="480"/>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b/>
          <w:bCs/>
          <w:color w:val="auto"/>
          <w:sz w:val="24"/>
          <w:szCs w:val="24"/>
          <w:lang w:eastAsia="zh-CN"/>
        </w:rPr>
        <w:t>一、经济部分</w:t>
      </w:r>
      <w:bookmarkEnd w:id="223"/>
      <w:bookmarkEnd w:id="224"/>
      <w:bookmarkEnd w:id="225"/>
      <w:bookmarkEnd w:id="226"/>
      <w:bookmarkEnd w:id="227"/>
      <w:bookmarkEnd w:id="228"/>
      <w:bookmarkEnd w:id="229"/>
      <w:bookmarkEnd w:id="230"/>
      <w:bookmarkEnd w:id="231"/>
      <w:bookmarkEnd w:id="232"/>
    </w:p>
    <w:p w14:paraId="49937DF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（一）报价函</w:t>
      </w:r>
    </w:p>
    <w:p w14:paraId="3A5521F6">
      <w:pPr>
        <w:spacing w:line="360" w:lineRule="auto"/>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t>报 价 函</w:t>
      </w:r>
    </w:p>
    <w:p w14:paraId="6F04A60B">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重庆理工职业学院 ：</w:t>
      </w:r>
    </w:p>
    <w:p w14:paraId="2062DF5F">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我方收到____________________________（</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项目名称）的</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，经详细研究，决定参加该</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项目的报价。</w:t>
      </w:r>
    </w:p>
    <w:p w14:paraId="0C1FFE3B">
      <w:pPr>
        <w:numPr>
          <w:ilvl w:val="0"/>
          <w:numId w:val="3"/>
        </w:num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愿意按照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中的一切要求，提供本项目的设计及施工服务，项目总报价为人民币大写：</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元整；人民币小写：</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元。</w:t>
      </w:r>
    </w:p>
    <w:p w14:paraId="4268D22F">
      <w:pPr>
        <w:spacing w:line="360" w:lineRule="auto"/>
        <w:ind w:left="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2.我方现提交的响应文件为：响应文件正本</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份，副本</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份</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val="en-US" w:eastAsia="zh-CN"/>
        </w:rPr>
        <w:t>电子文件</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份。</w:t>
      </w:r>
    </w:p>
    <w:p w14:paraId="4A542A1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3.我方承诺：本次报价的有效期为提交响应文件截止时间起90天。</w:t>
      </w:r>
    </w:p>
    <w:p w14:paraId="19E0A0F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4.我方完全理解和接受贵方</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的一切规定和要求及评审办法。</w:t>
      </w:r>
    </w:p>
    <w:p w14:paraId="598BAB9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5.在整个</w:t>
      </w: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过程中，我方若有违规行为，接受按照《</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》之规定给予惩罚。</w:t>
      </w:r>
    </w:p>
    <w:p w14:paraId="5E42E93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6.我方若成为成交供应商，将按照最终报价结果签订合同，并且严格履行合同义务。本承诺函将成为合同不可分割的一部分，与合同具有同等的法律效力。</w:t>
      </w:r>
    </w:p>
    <w:p w14:paraId="47F8EA1F">
      <w:pPr>
        <w:spacing w:line="360" w:lineRule="auto"/>
        <w:ind w:firstLine="481"/>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7.我方同意按</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规定，支付</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要求的保证金。若发生第五篇（二）响应保证金第2条的情况，我单位对保证金不予退还无任何异议。如我方成为成交供应商，保证在接到成交通知书后，向采购人缴纳</w:t>
      </w:r>
      <w:r>
        <w:rPr>
          <w:rFonts w:hint="eastAsia" w:ascii="Times New Roman" w:hAnsi="Times New Roman" w:eastAsia="仿宋" w:cs="Times New Roman"/>
          <w:color w:val="auto"/>
          <w:sz w:val="24"/>
          <w:szCs w:val="24"/>
          <w:lang w:eastAsia="zh-CN"/>
        </w:rPr>
        <w:t>竞争性比选文件</w:t>
      </w:r>
      <w:r>
        <w:rPr>
          <w:rFonts w:ascii="Times New Roman" w:hAnsi="Times New Roman" w:eastAsia="仿宋" w:cs="Times New Roman"/>
          <w:color w:val="auto"/>
          <w:sz w:val="24"/>
          <w:szCs w:val="24"/>
          <w:lang w:eastAsia="zh-CN"/>
        </w:rPr>
        <w:t>规定的</w:t>
      </w:r>
      <w:r>
        <w:rPr>
          <w:rFonts w:hint="eastAsia" w:ascii="Times New Roman" w:hAnsi="Times New Roman" w:eastAsia="仿宋" w:cs="Times New Roman"/>
          <w:color w:val="auto"/>
          <w:sz w:val="24"/>
          <w:szCs w:val="24"/>
          <w:lang w:val="en-US" w:eastAsia="zh-CN"/>
        </w:rPr>
        <w:t>招标服务费及</w:t>
      </w:r>
      <w:r>
        <w:rPr>
          <w:rFonts w:ascii="Times New Roman" w:hAnsi="Times New Roman" w:eastAsia="仿宋" w:cs="Times New Roman"/>
          <w:color w:val="auto"/>
          <w:sz w:val="24"/>
          <w:szCs w:val="24"/>
          <w:lang w:eastAsia="zh-CN"/>
        </w:rPr>
        <w:t>履约保证金。</w:t>
      </w:r>
    </w:p>
    <w:p w14:paraId="333A81A0">
      <w:pPr>
        <w:spacing w:line="360" w:lineRule="auto"/>
        <w:ind w:firstLine="480"/>
        <w:jc w:val="both"/>
        <w:rPr>
          <w:rFonts w:ascii="Times New Roman" w:hAnsi="Times New Roman" w:eastAsia="仿宋" w:cs="Times New Roman"/>
          <w:color w:val="auto"/>
          <w:sz w:val="24"/>
          <w:szCs w:val="24"/>
          <w:lang w:eastAsia="zh-CN"/>
        </w:rPr>
      </w:pPr>
    </w:p>
    <w:p w14:paraId="668BB336">
      <w:pPr>
        <w:spacing w:line="360" w:lineRule="auto"/>
        <w:ind w:firstLine="480"/>
        <w:jc w:val="both"/>
        <w:rPr>
          <w:rFonts w:ascii="Times New Roman" w:hAnsi="Times New Roman" w:eastAsia="仿宋" w:cs="Times New Roman"/>
          <w:color w:val="auto"/>
          <w:sz w:val="24"/>
          <w:szCs w:val="24"/>
          <w:lang w:eastAsia="zh-CN"/>
        </w:rPr>
      </w:pPr>
    </w:p>
    <w:p w14:paraId="18670186">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供应商（公章）或自然人签署：</w:t>
      </w:r>
      <w:r>
        <w:rPr>
          <w:rFonts w:ascii="Times New Roman" w:hAnsi="Times New Roman" w:eastAsia="仿宋" w:cs="Times New Roman"/>
          <w:color w:val="auto"/>
          <w:sz w:val="24"/>
          <w:szCs w:val="24"/>
          <w:u w:val="single"/>
          <w:lang w:eastAsia="zh-CN"/>
        </w:rPr>
        <w:t xml:space="preserve">                 </w:t>
      </w:r>
    </w:p>
    <w:p w14:paraId="42B24287">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地址：</w:t>
      </w:r>
      <w:r>
        <w:rPr>
          <w:rFonts w:ascii="Times New Roman" w:hAnsi="Times New Roman" w:eastAsia="仿宋" w:cs="Times New Roman"/>
          <w:color w:val="auto"/>
          <w:sz w:val="24"/>
          <w:szCs w:val="24"/>
          <w:u w:val="single"/>
          <w:lang w:eastAsia="zh-CN"/>
        </w:rPr>
        <w:t xml:space="preserve">              </w:t>
      </w:r>
    </w:p>
    <w:p w14:paraId="4BAF0E82">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电话：</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 xml:space="preserve">             传真：</w:t>
      </w:r>
      <w:r>
        <w:rPr>
          <w:rFonts w:ascii="Times New Roman" w:hAnsi="Times New Roman" w:eastAsia="仿宋" w:cs="Times New Roman"/>
          <w:color w:val="auto"/>
          <w:sz w:val="24"/>
          <w:szCs w:val="24"/>
          <w:u w:val="single"/>
          <w:lang w:eastAsia="zh-CN"/>
        </w:rPr>
        <w:t xml:space="preserve">              </w:t>
      </w:r>
    </w:p>
    <w:p w14:paraId="15CC666C">
      <w:pPr>
        <w:spacing w:line="360" w:lineRule="auto"/>
        <w:ind w:firstLine="480"/>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网址：</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 xml:space="preserve">             邮编：</w:t>
      </w:r>
      <w:r>
        <w:rPr>
          <w:rFonts w:ascii="Times New Roman" w:hAnsi="Times New Roman" w:eastAsia="仿宋" w:cs="Times New Roman"/>
          <w:color w:val="auto"/>
          <w:sz w:val="24"/>
          <w:szCs w:val="24"/>
          <w:u w:val="single"/>
          <w:lang w:eastAsia="zh-CN"/>
        </w:rPr>
        <w:t xml:space="preserve">              </w:t>
      </w:r>
    </w:p>
    <w:p w14:paraId="5D8204DD">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联系人：</w:t>
      </w:r>
      <w:r>
        <w:rPr>
          <w:rFonts w:ascii="Times New Roman" w:hAnsi="Times New Roman" w:eastAsia="仿宋" w:cs="Times New Roman"/>
          <w:color w:val="auto"/>
          <w:sz w:val="24"/>
          <w:szCs w:val="24"/>
          <w:u w:val="single"/>
          <w:lang w:eastAsia="zh-CN"/>
        </w:rPr>
        <w:t xml:space="preserve">            </w:t>
      </w:r>
    </w:p>
    <w:p w14:paraId="60018500">
      <w:pPr>
        <w:spacing w:line="360" w:lineRule="auto"/>
        <w:ind w:firstLine="480"/>
        <w:jc w:val="both"/>
        <w:rPr>
          <w:rFonts w:ascii="Times New Roman" w:hAnsi="Times New Roman" w:eastAsia="仿宋" w:cs="Times New Roman"/>
          <w:color w:val="auto"/>
          <w:sz w:val="24"/>
          <w:szCs w:val="24"/>
          <w:lang w:eastAsia="zh-CN"/>
        </w:rPr>
      </w:pPr>
    </w:p>
    <w:p w14:paraId="35582E5D">
      <w:pPr>
        <w:spacing w:line="360" w:lineRule="auto"/>
        <w:ind w:firstLine="480"/>
        <w:jc w:val="right"/>
        <w:rPr>
          <w:rFonts w:ascii="Times New Roman" w:hAnsi="Times New Roman" w:eastAsia="仿宋" w:cs="Times New Roman"/>
          <w:color w:val="auto"/>
          <w:sz w:val="24"/>
          <w:szCs w:val="24"/>
          <w:lang w:eastAsia="zh-CN"/>
        </w:rPr>
        <w:sectPr>
          <w:footerReference r:id="rId8" w:type="default"/>
          <w:footerReference r:id="rId9" w:type="even"/>
          <w:pgSz w:w="11907" w:h="16840"/>
          <w:pgMar w:top="1417" w:right="1417" w:bottom="1417" w:left="1417" w:header="851" w:footer="992" w:gutter="0"/>
          <w:cols w:space="720" w:num="1"/>
          <w:docGrid w:linePitch="380" w:charSpace="-5735"/>
        </w:sectPr>
      </w:pPr>
      <w:r>
        <w:rPr>
          <w:rFonts w:ascii="Times New Roman" w:hAnsi="Times New Roman" w:eastAsia="仿宋" w:cs="Times New Roman"/>
          <w:color w:val="auto"/>
          <w:sz w:val="24"/>
          <w:szCs w:val="24"/>
          <w:lang w:eastAsia="zh-CN"/>
        </w:rPr>
        <w:t>2025年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12F765B4">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（二）明细报价表</w:t>
      </w:r>
    </w:p>
    <w:p w14:paraId="38055B8B">
      <w:pPr>
        <w:spacing w:line="360" w:lineRule="auto"/>
        <w:ind w:left="-359" w:leftChars="-171"/>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object>
          <v:shape id="_x0000_i1025" o:spt="75" alt="" type="#_x0000_t75" style="height:533.45pt;width:452.95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p>
    <w:p w14:paraId="3CABFF1F">
      <w:pPr>
        <w:spacing w:line="360" w:lineRule="auto"/>
        <w:jc w:val="both"/>
        <w:rPr>
          <w:rFonts w:ascii="Times New Roman" w:hAnsi="Times New Roman" w:eastAsia="仿宋" w:cs="Times New Roman"/>
          <w:b/>
          <w:color w:val="auto"/>
          <w:sz w:val="24"/>
          <w:szCs w:val="24"/>
          <w:lang w:eastAsia="zh-CN"/>
        </w:rPr>
      </w:pPr>
      <w:bookmarkStart w:id="233" w:name="_Toc313888362"/>
      <w:bookmarkStart w:id="234" w:name="_Toc342913421"/>
      <w:bookmarkStart w:id="235" w:name="_Toc313008358"/>
      <w:r>
        <w:rPr>
          <w:rFonts w:ascii="Times New Roman" w:hAnsi="Times New Roman" w:eastAsia="仿宋" w:cs="Times New Roman"/>
          <w:color w:val="auto"/>
          <w:sz w:val="24"/>
          <w:szCs w:val="24"/>
          <w:lang w:eastAsia="zh-CN"/>
        </w:rPr>
        <w:br w:type="page"/>
      </w:r>
      <w:bookmarkStart w:id="236" w:name="_Toc65660382"/>
      <w:bookmarkStart w:id="237" w:name="_Toc106034811"/>
      <w:bookmarkStart w:id="238" w:name="_Toc20162"/>
      <w:bookmarkStart w:id="239" w:name="_Toc2082"/>
      <w:bookmarkStart w:id="240" w:name="_Toc21793"/>
      <w:r>
        <w:rPr>
          <w:rFonts w:ascii="Times New Roman" w:hAnsi="Times New Roman" w:eastAsia="仿宋" w:cs="Times New Roman"/>
          <w:color w:val="auto"/>
          <w:sz w:val="24"/>
          <w:szCs w:val="24"/>
          <w:lang w:eastAsia="zh-CN"/>
        </w:rPr>
        <w:t xml:space="preserve">    </w:t>
      </w:r>
      <w:bookmarkStart w:id="241" w:name="_Toc24147"/>
      <w:r>
        <w:rPr>
          <w:rFonts w:hint="eastAsia" w:ascii="Times New Roman" w:hAnsi="Times New Roman" w:eastAsia="仿宋" w:cs="Times New Roman"/>
          <w:b/>
          <w:color w:val="auto"/>
          <w:sz w:val="24"/>
          <w:szCs w:val="24"/>
          <w:lang w:eastAsia="zh-CN"/>
        </w:rPr>
        <w:t>二、技术需求部分</w:t>
      </w:r>
      <w:bookmarkEnd w:id="241"/>
    </w:p>
    <w:p w14:paraId="2D670C39">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（一）技术需求响应偏离表</w:t>
      </w:r>
    </w:p>
    <w:p w14:paraId="654CB6E1">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27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B10BD37">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序号</w:t>
            </w:r>
          </w:p>
        </w:tc>
        <w:tc>
          <w:tcPr>
            <w:tcW w:w="2844" w:type="dxa"/>
            <w:vAlign w:val="center"/>
          </w:tcPr>
          <w:p w14:paraId="5C37BAE6">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采购需求</w:t>
            </w:r>
          </w:p>
        </w:tc>
        <w:tc>
          <w:tcPr>
            <w:tcW w:w="2952" w:type="dxa"/>
            <w:vAlign w:val="center"/>
          </w:tcPr>
          <w:p w14:paraId="6109F42D">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响应情况</w:t>
            </w:r>
          </w:p>
        </w:tc>
        <w:tc>
          <w:tcPr>
            <w:tcW w:w="2212" w:type="dxa"/>
            <w:vAlign w:val="center"/>
          </w:tcPr>
          <w:p w14:paraId="55E94E65">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差异说明</w:t>
            </w:r>
          </w:p>
        </w:tc>
      </w:tr>
      <w:tr w14:paraId="6C2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0AC1FF">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7C109D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03A2308F">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002D7D59">
            <w:pPr>
              <w:spacing w:line="360" w:lineRule="auto"/>
              <w:jc w:val="both"/>
              <w:rPr>
                <w:rFonts w:ascii="Times New Roman" w:hAnsi="Times New Roman" w:eastAsia="仿宋" w:cs="Times New Roman"/>
                <w:color w:val="auto"/>
                <w:sz w:val="24"/>
                <w:szCs w:val="24"/>
                <w:lang w:eastAsia="zh-CN"/>
              </w:rPr>
            </w:pPr>
          </w:p>
        </w:tc>
      </w:tr>
      <w:tr w14:paraId="42DF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9559C2">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75A152D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48F433D6">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B756CE3">
            <w:pPr>
              <w:spacing w:line="360" w:lineRule="auto"/>
              <w:jc w:val="both"/>
              <w:rPr>
                <w:rFonts w:ascii="Times New Roman" w:hAnsi="Times New Roman" w:eastAsia="仿宋" w:cs="Times New Roman"/>
                <w:color w:val="auto"/>
                <w:sz w:val="24"/>
                <w:szCs w:val="24"/>
                <w:lang w:eastAsia="zh-CN"/>
              </w:rPr>
            </w:pPr>
          </w:p>
        </w:tc>
      </w:tr>
      <w:tr w14:paraId="40A4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3E7152D">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5324111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29B0DD4D">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01269810">
            <w:pPr>
              <w:spacing w:line="360" w:lineRule="auto"/>
              <w:jc w:val="both"/>
              <w:rPr>
                <w:rFonts w:ascii="Times New Roman" w:hAnsi="Times New Roman" w:eastAsia="仿宋" w:cs="Times New Roman"/>
                <w:color w:val="auto"/>
                <w:sz w:val="24"/>
                <w:szCs w:val="24"/>
                <w:lang w:eastAsia="zh-CN"/>
              </w:rPr>
            </w:pPr>
          </w:p>
        </w:tc>
      </w:tr>
      <w:tr w14:paraId="083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7C73879">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0CE5EF6">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781DD782">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2BE195C2">
            <w:pPr>
              <w:spacing w:line="360" w:lineRule="auto"/>
              <w:jc w:val="both"/>
              <w:rPr>
                <w:rFonts w:ascii="Times New Roman" w:hAnsi="Times New Roman" w:eastAsia="仿宋" w:cs="Times New Roman"/>
                <w:color w:val="auto"/>
                <w:sz w:val="24"/>
                <w:szCs w:val="24"/>
                <w:lang w:eastAsia="zh-CN"/>
              </w:rPr>
            </w:pPr>
          </w:p>
        </w:tc>
      </w:tr>
      <w:tr w14:paraId="4B4B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7A0E5F7">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52A31DB4">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56B76E96">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61A556B">
            <w:pPr>
              <w:spacing w:line="360" w:lineRule="auto"/>
              <w:jc w:val="both"/>
              <w:rPr>
                <w:rFonts w:ascii="Times New Roman" w:hAnsi="Times New Roman" w:eastAsia="仿宋" w:cs="Times New Roman"/>
                <w:color w:val="auto"/>
                <w:sz w:val="24"/>
                <w:szCs w:val="24"/>
                <w:lang w:eastAsia="zh-CN"/>
              </w:rPr>
            </w:pPr>
          </w:p>
        </w:tc>
      </w:tr>
      <w:tr w14:paraId="72F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79E26E">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36F07545">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41CFB3B4">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82DDFD9">
            <w:pPr>
              <w:spacing w:line="360" w:lineRule="auto"/>
              <w:jc w:val="both"/>
              <w:rPr>
                <w:rFonts w:ascii="Times New Roman" w:hAnsi="Times New Roman" w:eastAsia="仿宋" w:cs="Times New Roman"/>
                <w:color w:val="auto"/>
                <w:sz w:val="24"/>
                <w:szCs w:val="24"/>
                <w:lang w:eastAsia="zh-CN"/>
              </w:rPr>
            </w:pPr>
          </w:p>
        </w:tc>
      </w:tr>
      <w:tr w14:paraId="7D5E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987A00">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7B8D15F5">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6E904E8A">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3121EBC3">
            <w:pPr>
              <w:spacing w:line="360" w:lineRule="auto"/>
              <w:jc w:val="both"/>
              <w:rPr>
                <w:rFonts w:ascii="Times New Roman" w:hAnsi="Times New Roman" w:eastAsia="仿宋" w:cs="Times New Roman"/>
                <w:color w:val="auto"/>
                <w:sz w:val="24"/>
                <w:szCs w:val="24"/>
                <w:lang w:eastAsia="zh-CN"/>
              </w:rPr>
            </w:pPr>
          </w:p>
        </w:tc>
      </w:tr>
      <w:tr w14:paraId="00C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6B2A622">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2E9C28D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37D691D3">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3DA51276">
            <w:pPr>
              <w:spacing w:line="360" w:lineRule="auto"/>
              <w:jc w:val="both"/>
              <w:rPr>
                <w:rFonts w:ascii="Times New Roman" w:hAnsi="Times New Roman" w:eastAsia="仿宋" w:cs="Times New Roman"/>
                <w:color w:val="auto"/>
                <w:sz w:val="24"/>
                <w:szCs w:val="24"/>
                <w:lang w:eastAsia="zh-CN"/>
              </w:rPr>
            </w:pPr>
          </w:p>
        </w:tc>
      </w:tr>
      <w:tr w14:paraId="428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51F294">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18D3D390">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1167F858">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5CAF0C90">
            <w:pPr>
              <w:spacing w:line="360" w:lineRule="auto"/>
              <w:jc w:val="both"/>
              <w:rPr>
                <w:rFonts w:ascii="Times New Roman" w:hAnsi="Times New Roman" w:eastAsia="仿宋" w:cs="Times New Roman"/>
                <w:color w:val="auto"/>
                <w:sz w:val="24"/>
                <w:szCs w:val="24"/>
                <w:lang w:eastAsia="zh-CN"/>
              </w:rPr>
            </w:pPr>
          </w:p>
        </w:tc>
      </w:tr>
      <w:tr w14:paraId="3EC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C2A770">
            <w:pPr>
              <w:spacing w:line="360" w:lineRule="auto"/>
              <w:jc w:val="both"/>
              <w:rPr>
                <w:rFonts w:ascii="Times New Roman" w:hAnsi="Times New Roman" w:eastAsia="仿宋" w:cs="Times New Roman"/>
                <w:color w:val="auto"/>
                <w:sz w:val="24"/>
                <w:szCs w:val="24"/>
                <w:lang w:eastAsia="zh-CN"/>
              </w:rPr>
            </w:pPr>
          </w:p>
        </w:tc>
        <w:tc>
          <w:tcPr>
            <w:tcW w:w="2844" w:type="dxa"/>
            <w:vAlign w:val="center"/>
          </w:tcPr>
          <w:p w14:paraId="229E3B19">
            <w:pPr>
              <w:spacing w:line="360" w:lineRule="auto"/>
              <w:jc w:val="both"/>
              <w:rPr>
                <w:rFonts w:ascii="Times New Roman" w:hAnsi="Times New Roman" w:eastAsia="仿宋" w:cs="Times New Roman"/>
                <w:color w:val="auto"/>
                <w:sz w:val="24"/>
                <w:szCs w:val="24"/>
                <w:lang w:eastAsia="zh-CN"/>
              </w:rPr>
            </w:pPr>
          </w:p>
        </w:tc>
        <w:tc>
          <w:tcPr>
            <w:tcW w:w="2952" w:type="dxa"/>
            <w:vAlign w:val="center"/>
          </w:tcPr>
          <w:p w14:paraId="2B4DE588">
            <w:pPr>
              <w:spacing w:line="360" w:lineRule="auto"/>
              <w:jc w:val="both"/>
              <w:rPr>
                <w:rFonts w:ascii="Times New Roman" w:hAnsi="Times New Roman" w:eastAsia="仿宋" w:cs="Times New Roman"/>
                <w:color w:val="auto"/>
                <w:sz w:val="24"/>
                <w:szCs w:val="24"/>
                <w:lang w:eastAsia="zh-CN"/>
              </w:rPr>
            </w:pPr>
          </w:p>
        </w:tc>
        <w:tc>
          <w:tcPr>
            <w:tcW w:w="2212" w:type="dxa"/>
            <w:vAlign w:val="center"/>
          </w:tcPr>
          <w:p w14:paraId="666B55C4">
            <w:pPr>
              <w:spacing w:line="360" w:lineRule="auto"/>
              <w:jc w:val="both"/>
              <w:rPr>
                <w:rFonts w:ascii="Times New Roman" w:hAnsi="Times New Roman" w:eastAsia="仿宋" w:cs="Times New Roman"/>
                <w:color w:val="auto"/>
                <w:sz w:val="24"/>
                <w:szCs w:val="24"/>
                <w:lang w:eastAsia="zh-CN"/>
              </w:rPr>
            </w:pPr>
          </w:p>
        </w:tc>
      </w:tr>
    </w:tbl>
    <w:p w14:paraId="5293F624">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                         法定代表人（或其授权代表）或自然人：</w:t>
      </w:r>
    </w:p>
    <w:p w14:paraId="11569401">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w:t>
      </w:r>
    </w:p>
    <w:p w14:paraId="4178A46F">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（供应商公章）                               （签署或盖章）</w:t>
      </w:r>
    </w:p>
    <w:p w14:paraId="4C49076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年     月     日</w:t>
      </w:r>
    </w:p>
    <w:p w14:paraId="28AD9C1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注：</w:t>
      </w:r>
    </w:p>
    <w:p w14:paraId="2748DAA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1.本表即为对本项目“第二篇 项目技术需求”中所列条款进行比较和响应；</w:t>
      </w:r>
    </w:p>
    <w:p w14:paraId="30F8B4B3">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2.该表必须按照采购要求逐条如实填写，根据响应情况在“差异说明”项填写正偏离或负偏离及原因，完全符合的填写“无差异”。</w:t>
      </w:r>
    </w:p>
    <w:p w14:paraId="5038F8D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3.该表如有扩展，须逐页签字或盖章。</w:t>
      </w:r>
    </w:p>
    <w:p w14:paraId="34AE2FD6">
      <w:pPr>
        <w:spacing w:line="360" w:lineRule="auto"/>
        <w:jc w:val="both"/>
        <w:rPr>
          <w:rFonts w:ascii="Times New Roman" w:hAnsi="Times New Roman" w:eastAsia="仿宋" w:cs="Times New Roman"/>
          <w:color w:val="auto"/>
          <w:sz w:val="24"/>
          <w:szCs w:val="24"/>
          <w:lang w:eastAsia="zh-CN"/>
        </w:rPr>
      </w:pPr>
    </w:p>
    <w:p w14:paraId="692B3D4C">
      <w:pPr>
        <w:spacing w:line="360" w:lineRule="auto"/>
        <w:jc w:val="both"/>
        <w:rPr>
          <w:rFonts w:ascii="Times New Roman" w:hAnsi="Times New Roman" w:eastAsia="仿宋" w:cs="Times New Roman"/>
          <w:b/>
          <w:bCs/>
          <w:color w:val="auto"/>
          <w:sz w:val="24"/>
          <w:szCs w:val="24"/>
          <w:lang w:eastAsia="zh-CN"/>
        </w:rPr>
      </w:pPr>
      <w:bookmarkStart w:id="242" w:name="_Toc7415"/>
      <w:r>
        <w:rPr>
          <w:rFonts w:hint="eastAsia" w:ascii="Times New Roman" w:hAnsi="Times New Roman" w:eastAsia="仿宋" w:cs="Times New Roman"/>
          <w:sz w:val="24"/>
          <w:szCs w:val="24"/>
          <w:lang w:eastAsia="zh-CN"/>
        </w:rPr>
        <w:br w:type="page"/>
      </w:r>
      <w:r>
        <w:rPr>
          <w:rFonts w:hint="eastAsia" w:ascii="Times New Roman" w:hAnsi="Times New Roman" w:eastAsia="仿宋" w:cs="Times New Roman"/>
          <w:b/>
          <w:color w:val="auto"/>
          <w:sz w:val="24"/>
          <w:szCs w:val="24"/>
          <w:lang w:eastAsia="zh-CN"/>
        </w:rPr>
        <w:t>三、商务需求部分</w:t>
      </w:r>
      <w:bookmarkEnd w:id="242"/>
    </w:p>
    <w:p w14:paraId="3ADB8AF0">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（一）商务需求响应偏离表</w:t>
      </w:r>
    </w:p>
    <w:p w14:paraId="136DFC78">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EFF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7D7B54EB">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序号</w:t>
            </w:r>
          </w:p>
        </w:tc>
        <w:tc>
          <w:tcPr>
            <w:tcW w:w="3184" w:type="dxa"/>
            <w:vAlign w:val="center"/>
          </w:tcPr>
          <w:p w14:paraId="7F75A697">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采购需求</w:t>
            </w:r>
          </w:p>
        </w:tc>
        <w:tc>
          <w:tcPr>
            <w:tcW w:w="2438" w:type="dxa"/>
            <w:vAlign w:val="center"/>
          </w:tcPr>
          <w:p w14:paraId="5F84EC5C">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响应情况</w:t>
            </w:r>
          </w:p>
        </w:tc>
        <w:tc>
          <w:tcPr>
            <w:tcW w:w="2359" w:type="dxa"/>
            <w:vAlign w:val="center"/>
          </w:tcPr>
          <w:p w14:paraId="096C68DB">
            <w:pPr>
              <w:spacing w:line="360" w:lineRule="auto"/>
              <w:jc w:val="both"/>
              <w:rPr>
                <w:rFonts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lang w:eastAsia="zh-CN"/>
              </w:rPr>
              <w:t>差异说明</w:t>
            </w:r>
          </w:p>
        </w:tc>
      </w:tr>
      <w:tr w14:paraId="1100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4371C17C">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7E1889DC">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0E6DB8A2">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2250CE22">
            <w:pPr>
              <w:spacing w:line="360" w:lineRule="auto"/>
              <w:jc w:val="both"/>
              <w:rPr>
                <w:rFonts w:ascii="Times New Roman" w:hAnsi="Times New Roman" w:eastAsia="仿宋" w:cs="Times New Roman"/>
                <w:color w:val="auto"/>
                <w:sz w:val="24"/>
                <w:szCs w:val="24"/>
                <w:lang w:eastAsia="zh-CN"/>
              </w:rPr>
            </w:pPr>
          </w:p>
        </w:tc>
      </w:tr>
      <w:tr w14:paraId="79B5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63D68AF3">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389D6BE3">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0A40B49E">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6F5DBA02">
            <w:pPr>
              <w:spacing w:line="360" w:lineRule="auto"/>
              <w:jc w:val="both"/>
              <w:rPr>
                <w:rFonts w:ascii="Times New Roman" w:hAnsi="Times New Roman" w:eastAsia="仿宋" w:cs="Times New Roman"/>
                <w:color w:val="auto"/>
                <w:sz w:val="24"/>
                <w:szCs w:val="24"/>
                <w:lang w:eastAsia="zh-CN"/>
              </w:rPr>
            </w:pPr>
          </w:p>
        </w:tc>
      </w:tr>
      <w:tr w14:paraId="577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4E0B86AD">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2B3A8685">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7F4776D4">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73A68D09">
            <w:pPr>
              <w:spacing w:line="360" w:lineRule="auto"/>
              <w:jc w:val="both"/>
              <w:rPr>
                <w:rFonts w:ascii="Times New Roman" w:hAnsi="Times New Roman" w:eastAsia="仿宋" w:cs="Times New Roman"/>
                <w:color w:val="auto"/>
                <w:sz w:val="24"/>
                <w:szCs w:val="24"/>
                <w:lang w:eastAsia="zh-CN"/>
              </w:rPr>
            </w:pPr>
          </w:p>
        </w:tc>
      </w:tr>
      <w:tr w14:paraId="46D7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078B7C28">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0D26B971">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21A4CC4A">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4A3DFB1D">
            <w:pPr>
              <w:spacing w:line="360" w:lineRule="auto"/>
              <w:jc w:val="both"/>
              <w:rPr>
                <w:rFonts w:ascii="Times New Roman" w:hAnsi="Times New Roman" w:eastAsia="仿宋" w:cs="Times New Roman"/>
                <w:color w:val="auto"/>
                <w:sz w:val="24"/>
                <w:szCs w:val="24"/>
                <w:lang w:eastAsia="zh-CN"/>
              </w:rPr>
            </w:pPr>
          </w:p>
        </w:tc>
      </w:tr>
      <w:tr w14:paraId="6249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5054EAD2">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64C16390">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6A156D04">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53042D42">
            <w:pPr>
              <w:spacing w:line="360" w:lineRule="auto"/>
              <w:jc w:val="both"/>
              <w:rPr>
                <w:rFonts w:ascii="Times New Roman" w:hAnsi="Times New Roman" w:eastAsia="仿宋" w:cs="Times New Roman"/>
                <w:color w:val="auto"/>
                <w:sz w:val="24"/>
                <w:szCs w:val="24"/>
                <w:lang w:eastAsia="zh-CN"/>
              </w:rPr>
            </w:pPr>
          </w:p>
        </w:tc>
      </w:tr>
      <w:tr w14:paraId="43D9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2" w:type="dxa"/>
            <w:vAlign w:val="center"/>
          </w:tcPr>
          <w:p w14:paraId="2D1092A7">
            <w:pPr>
              <w:spacing w:line="360" w:lineRule="auto"/>
              <w:jc w:val="both"/>
              <w:rPr>
                <w:rFonts w:ascii="Times New Roman" w:hAnsi="Times New Roman" w:eastAsia="仿宋" w:cs="Times New Roman"/>
                <w:color w:val="auto"/>
                <w:sz w:val="24"/>
                <w:szCs w:val="24"/>
                <w:lang w:eastAsia="zh-CN"/>
              </w:rPr>
            </w:pPr>
          </w:p>
        </w:tc>
        <w:tc>
          <w:tcPr>
            <w:tcW w:w="3184" w:type="dxa"/>
            <w:vAlign w:val="center"/>
          </w:tcPr>
          <w:p w14:paraId="6FD6EA48">
            <w:pPr>
              <w:spacing w:line="360" w:lineRule="auto"/>
              <w:jc w:val="both"/>
              <w:rPr>
                <w:rFonts w:ascii="Times New Roman" w:hAnsi="Times New Roman" w:eastAsia="仿宋" w:cs="Times New Roman"/>
                <w:color w:val="auto"/>
                <w:sz w:val="24"/>
                <w:szCs w:val="24"/>
                <w:lang w:eastAsia="zh-CN"/>
              </w:rPr>
            </w:pPr>
          </w:p>
        </w:tc>
        <w:tc>
          <w:tcPr>
            <w:tcW w:w="2438" w:type="dxa"/>
            <w:vAlign w:val="center"/>
          </w:tcPr>
          <w:p w14:paraId="22E6AF4A">
            <w:pPr>
              <w:spacing w:line="360" w:lineRule="auto"/>
              <w:jc w:val="both"/>
              <w:rPr>
                <w:rFonts w:ascii="Times New Roman" w:hAnsi="Times New Roman" w:eastAsia="仿宋" w:cs="Times New Roman"/>
                <w:color w:val="auto"/>
                <w:sz w:val="24"/>
                <w:szCs w:val="24"/>
                <w:lang w:eastAsia="zh-CN"/>
              </w:rPr>
            </w:pPr>
          </w:p>
        </w:tc>
        <w:tc>
          <w:tcPr>
            <w:tcW w:w="2359" w:type="dxa"/>
            <w:vAlign w:val="center"/>
          </w:tcPr>
          <w:p w14:paraId="06DF695A">
            <w:pPr>
              <w:spacing w:line="360" w:lineRule="auto"/>
              <w:jc w:val="both"/>
              <w:rPr>
                <w:rFonts w:ascii="Times New Roman" w:hAnsi="Times New Roman" w:eastAsia="仿宋" w:cs="Times New Roman"/>
                <w:color w:val="auto"/>
                <w:sz w:val="24"/>
                <w:szCs w:val="24"/>
                <w:lang w:eastAsia="zh-CN"/>
              </w:rPr>
            </w:pPr>
          </w:p>
        </w:tc>
      </w:tr>
    </w:tbl>
    <w:p w14:paraId="02C7F49E">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                          法定代表人（或其授权代表）或自然人：</w:t>
      </w:r>
    </w:p>
    <w:p w14:paraId="4C000ED7">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w:t>
      </w:r>
    </w:p>
    <w:p w14:paraId="394625D9">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（供应商公章）                                     （签署或盖章）</w:t>
      </w:r>
    </w:p>
    <w:p w14:paraId="5326DB36">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 xml:space="preserve">                                                  年     月     日</w:t>
      </w:r>
    </w:p>
    <w:p w14:paraId="14B4773E">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注：</w:t>
      </w:r>
    </w:p>
    <w:p w14:paraId="6A4F4A15">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1.本表即为对本项目“第三篇 项目商务需求”中所列条款进行比较和响应；</w:t>
      </w:r>
    </w:p>
    <w:p w14:paraId="7ED9E92F">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2.该表必须按照采购要求逐条如实填写，根据响应情况在“差异说明”项填写正偏离或负偏离及原因，完全符合的填写“无差异”。</w:t>
      </w:r>
    </w:p>
    <w:p w14:paraId="08D39CF3">
      <w:pPr>
        <w:spacing w:line="360" w:lineRule="auto"/>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3.该表如有扩展，须逐页签字或盖章。</w:t>
      </w:r>
    </w:p>
    <w:p w14:paraId="3938C6E8">
      <w:pPr>
        <w:spacing w:line="360" w:lineRule="auto"/>
        <w:jc w:val="both"/>
        <w:rPr>
          <w:rFonts w:ascii="Times New Roman" w:hAnsi="Times New Roman" w:eastAsia="仿宋" w:cs="Times New Roman"/>
          <w:color w:val="auto"/>
          <w:sz w:val="24"/>
          <w:szCs w:val="24"/>
          <w:lang w:eastAsia="zh-CN"/>
        </w:rPr>
      </w:pPr>
    </w:p>
    <w:p w14:paraId="3B311F2B">
      <w:pPr>
        <w:spacing w:line="360" w:lineRule="auto"/>
        <w:jc w:val="both"/>
        <w:rPr>
          <w:rFonts w:ascii="Times New Roman" w:hAnsi="Times New Roman" w:eastAsia="仿宋" w:cs="Times New Roman"/>
          <w:color w:val="auto"/>
          <w:sz w:val="24"/>
          <w:szCs w:val="24"/>
          <w:lang w:eastAsia="zh-CN"/>
        </w:rPr>
      </w:pPr>
    </w:p>
    <w:p w14:paraId="2E5AC3A9">
      <w:pPr>
        <w:spacing w:line="360" w:lineRule="auto"/>
        <w:jc w:val="both"/>
        <w:rPr>
          <w:rFonts w:ascii="Times New Roman" w:hAnsi="Times New Roman" w:eastAsia="仿宋" w:cs="Times New Roman"/>
          <w:color w:val="auto"/>
          <w:sz w:val="24"/>
          <w:szCs w:val="24"/>
          <w:lang w:eastAsia="zh-CN"/>
        </w:rPr>
      </w:pPr>
    </w:p>
    <w:p w14:paraId="02DCF183">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4095C35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四、</w:t>
      </w:r>
      <w:bookmarkEnd w:id="233"/>
      <w:bookmarkEnd w:id="234"/>
      <w:bookmarkEnd w:id="235"/>
      <w:r>
        <w:rPr>
          <w:rFonts w:ascii="Times New Roman" w:hAnsi="Times New Roman" w:eastAsia="仿宋" w:cs="Times New Roman"/>
          <w:color w:val="auto"/>
          <w:sz w:val="24"/>
          <w:szCs w:val="24"/>
          <w:lang w:eastAsia="zh-CN"/>
        </w:rPr>
        <w:t>资格条件及其他</w:t>
      </w:r>
      <w:bookmarkEnd w:id="236"/>
      <w:bookmarkEnd w:id="237"/>
      <w:bookmarkEnd w:id="238"/>
      <w:bookmarkEnd w:id="239"/>
      <w:bookmarkEnd w:id="240"/>
      <w:bookmarkStart w:id="243" w:name="_Toc313008359"/>
      <w:bookmarkStart w:id="244" w:name="_Toc342913422"/>
      <w:bookmarkStart w:id="245" w:name="_Toc313888363"/>
    </w:p>
    <w:p w14:paraId="4C735391">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（一）法人营业执照（副本）或事业单位法人证书（副本）或个体工商户营业执照或有效的自然人身份证明或社会团体法人登记证书复印件。</w:t>
      </w:r>
    </w:p>
    <w:p w14:paraId="7F59CAA6">
      <w:pPr>
        <w:spacing w:line="360" w:lineRule="auto"/>
        <w:jc w:val="both"/>
        <w:rPr>
          <w:rFonts w:ascii="Times New Roman" w:hAnsi="Times New Roman" w:eastAsia="仿宋" w:cs="Times New Roman"/>
          <w:color w:val="auto"/>
          <w:sz w:val="24"/>
          <w:szCs w:val="24"/>
          <w:lang w:eastAsia="zh-CN"/>
        </w:rPr>
      </w:pPr>
    </w:p>
    <w:p w14:paraId="32C02E81">
      <w:pPr>
        <w:spacing w:line="360" w:lineRule="auto"/>
        <w:jc w:val="both"/>
        <w:rPr>
          <w:rFonts w:ascii="Times New Roman" w:hAnsi="Times New Roman" w:eastAsia="仿宋" w:cs="Times New Roman"/>
          <w:color w:val="auto"/>
          <w:sz w:val="24"/>
          <w:szCs w:val="24"/>
          <w:lang w:eastAsia="zh-CN"/>
        </w:rPr>
      </w:pPr>
    </w:p>
    <w:p w14:paraId="11C4C96E">
      <w:pPr>
        <w:spacing w:line="360" w:lineRule="auto"/>
        <w:jc w:val="both"/>
        <w:rPr>
          <w:rFonts w:ascii="Times New Roman" w:hAnsi="Times New Roman" w:eastAsia="仿宋" w:cs="Times New Roman"/>
          <w:color w:val="auto"/>
          <w:sz w:val="24"/>
          <w:szCs w:val="24"/>
          <w:lang w:eastAsia="zh-CN"/>
        </w:rPr>
      </w:pPr>
    </w:p>
    <w:p w14:paraId="45704E23">
      <w:pPr>
        <w:spacing w:line="360" w:lineRule="auto"/>
        <w:jc w:val="both"/>
        <w:rPr>
          <w:rFonts w:ascii="Times New Roman" w:hAnsi="Times New Roman" w:eastAsia="仿宋" w:cs="Times New Roman"/>
          <w:color w:val="auto"/>
          <w:sz w:val="24"/>
          <w:szCs w:val="24"/>
          <w:lang w:eastAsia="zh-CN"/>
        </w:rPr>
      </w:pPr>
    </w:p>
    <w:p w14:paraId="00727201">
      <w:pPr>
        <w:spacing w:line="360" w:lineRule="auto"/>
        <w:jc w:val="both"/>
        <w:rPr>
          <w:rFonts w:ascii="Times New Roman" w:hAnsi="Times New Roman" w:eastAsia="仿宋" w:cs="Times New Roman"/>
          <w:color w:val="auto"/>
          <w:sz w:val="24"/>
          <w:szCs w:val="24"/>
          <w:lang w:eastAsia="zh-CN"/>
        </w:rPr>
      </w:pPr>
    </w:p>
    <w:p w14:paraId="418C494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r>
        <w:rPr>
          <w:rFonts w:ascii="Times New Roman" w:hAnsi="Times New Roman" w:eastAsia="仿宋" w:cs="Times New Roman"/>
          <w:color w:val="auto"/>
          <w:sz w:val="24"/>
          <w:szCs w:val="24"/>
          <w:lang w:eastAsia="zh-CN"/>
        </w:rPr>
        <w:t xml:space="preserve">    （二）法定代表人身份证明书（格式）</w:t>
      </w:r>
    </w:p>
    <w:p w14:paraId="3DE53757">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w:t>
      </w:r>
    </w:p>
    <w:p w14:paraId="1D88C92B">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239A31D1">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（法定代表人姓名），</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（性别），在</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（供应商名称）任</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（职务名称）职务，是</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 的法定代表人。</w:t>
      </w:r>
    </w:p>
    <w:p w14:paraId="6D75E56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特此证明。</w:t>
      </w:r>
    </w:p>
    <w:p w14:paraId="5EEFAA3D">
      <w:pPr>
        <w:spacing w:line="360" w:lineRule="auto"/>
        <w:jc w:val="both"/>
        <w:rPr>
          <w:rFonts w:ascii="Times New Roman" w:hAnsi="Times New Roman" w:eastAsia="仿宋" w:cs="Times New Roman"/>
          <w:color w:val="auto"/>
          <w:sz w:val="24"/>
          <w:szCs w:val="24"/>
          <w:lang w:eastAsia="zh-CN"/>
        </w:rPr>
      </w:pPr>
    </w:p>
    <w:p w14:paraId="2B62DAFA">
      <w:pPr>
        <w:spacing w:line="360" w:lineRule="auto"/>
        <w:jc w:val="both"/>
        <w:rPr>
          <w:rFonts w:ascii="Times New Roman" w:hAnsi="Times New Roman" w:eastAsia="仿宋" w:cs="Times New Roman"/>
          <w:color w:val="auto"/>
          <w:sz w:val="24"/>
          <w:szCs w:val="24"/>
          <w:lang w:eastAsia="zh-CN"/>
        </w:rPr>
      </w:pPr>
    </w:p>
    <w:p w14:paraId="0A77631E">
      <w:pPr>
        <w:spacing w:line="360" w:lineRule="auto"/>
        <w:jc w:val="both"/>
        <w:rPr>
          <w:rFonts w:ascii="Times New Roman" w:hAnsi="Times New Roman" w:eastAsia="仿宋" w:cs="Times New Roman"/>
          <w:color w:val="auto"/>
          <w:sz w:val="24"/>
          <w:szCs w:val="24"/>
          <w:lang w:eastAsia="zh-CN"/>
        </w:rPr>
      </w:pPr>
    </w:p>
    <w:p w14:paraId="2122358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386BC499">
      <w:pPr>
        <w:spacing w:line="360" w:lineRule="auto"/>
        <w:jc w:val="both"/>
        <w:rPr>
          <w:rFonts w:ascii="Times New Roman" w:hAnsi="Times New Roman" w:eastAsia="仿宋" w:cs="Times New Roman"/>
          <w:color w:val="auto"/>
          <w:sz w:val="24"/>
          <w:szCs w:val="24"/>
          <w:lang w:eastAsia="zh-CN"/>
        </w:rPr>
      </w:pPr>
    </w:p>
    <w:p w14:paraId="1961EB8A">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5C95CB52">
      <w:pPr>
        <w:spacing w:line="360" w:lineRule="auto"/>
        <w:jc w:val="both"/>
        <w:rPr>
          <w:rFonts w:ascii="Times New Roman" w:hAnsi="Times New Roman" w:eastAsia="仿宋" w:cs="Times New Roman"/>
          <w:color w:val="auto"/>
          <w:sz w:val="24"/>
          <w:szCs w:val="24"/>
          <w:lang w:eastAsia="zh-CN"/>
        </w:rPr>
      </w:pPr>
    </w:p>
    <w:p w14:paraId="79A5FFD9">
      <w:pPr>
        <w:spacing w:line="360" w:lineRule="auto"/>
        <w:jc w:val="both"/>
        <w:rPr>
          <w:rFonts w:ascii="Times New Roman" w:hAnsi="Times New Roman" w:eastAsia="仿宋" w:cs="Times New Roman"/>
          <w:color w:val="auto"/>
          <w:sz w:val="24"/>
          <w:szCs w:val="24"/>
          <w:lang w:eastAsia="zh-CN"/>
        </w:rPr>
      </w:pPr>
    </w:p>
    <w:p w14:paraId="705519B8">
      <w:pPr>
        <w:spacing w:line="360" w:lineRule="auto"/>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 xml:space="preserve">     法定代表人电话：</w:t>
      </w:r>
      <w:r>
        <w:rPr>
          <w:rFonts w:ascii="Times New Roman" w:hAnsi="Times New Roman" w:eastAsia="仿宋" w:cs="Times New Roman"/>
          <w:color w:val="auto"/>
          <w:sz w:val="24"/>
          <w:szCs w:val="24"/>
          <w:u w:val="single"/>
          <w:lang w:eastAsia="zh-CN"/>
        </w:rPr>
        <w:t xml:space="preserve">           </w:t>
      </w:r>
    </w:p>
    <w:p w14:paraId="0BC8ABA5">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电子邮箱：</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（若授权他人办理并签署响应文件的可不填写）</w:t>
      </w:r>
    </w:p>
    <w:p w14:paraId="2C6D9FE6">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（附：法定代表人身份证正反面复印件）</w:t>
      </w:r>
    </w:p>
    <w:p w14:paraId="049C14EC">
      <w:pPr>
        <w:spacing w:line="360" w:lineRule="auto"/>
        <w:jc w:val="both"/>
        <w:rPr>
          <w:rFonts w:ascii="Times New Roman" w:hAnsi="Times New Roman" w:eastAsia="仿宋" w:cs="Times New Roman"/>
          <w:color w:val="auto"/>
          <w:sz w:val="24"/>
          <w:szCs w:val="24"/>
          <w:lang w:eastAsia="zh-CN"/>
        </w:rPr>
      </w:pPr>
    </w:p>
    <w:p w14:paraId="72DB5775">
      <w:pPr>
        <w:spacing w:line="360" w:lineRule="auto"/>
        <w:jc w:val="both"/>
        <w:rPr>
          <w:rFonts w:ascii="Times New Roman" w:hAnsi="Times New Roman" w:eastAsia="仿宋" w:cs="Times New Roman"/>
          <w:color w:val="auto"/>
          <w:sz w:val="24"/>
          <w:szCs w:val="24"/>
          <w:lang w:eastAsia="zh-CN"/>
        </w:rPr>
      </w:pPr>
    </w:p>
    <w:p w14:paraId="63B70668">
      <w:pPr>
        <w:spacing w:line="360" w:lineRule="auto"/>
        <w:jc w:val="both"/>
        <w:rPr>
          <w:rFonts w:ascii="Times New Roman" w:hAnsi="Times New Roman" w:eastAsia="仿宋" w:cs="Times New Roman"/>
          <w:color w:val="auto"/>
          <w:sz w:val="24"/>
          <w:szCs w:val="24"/>
          <w:lang w:eastAsia="zh-CN"/>
        </w:rPr>
      </w:pPr>
    </w:p>
    <w:p w14:paraId="7F7DBAFD">
      <w:pPr>
        <w:spacing w:line="360" w:lineRule="auto"/>
        <w:jc w:val="both"/>
        <w:rPr>
          <w:rFonts w:ascii="Times New Roman" w:hAnsi="Times New Roman" w:eastAsia="仿宋" w:cs="Times New Roman"/>
          <w:color w:val="auto"/>
          <w:sz w:val="24"/>
          <w:szCs w:val="24"/>
          <w:lang w:eastAsia="zh-CN"/>
        </w:rPr>
      </w:pPr>
    </w:p>
    <w:p w14:paraId="157B7BBE">
      <w:pPr>
        <w:spacing w:line="360" w:lineRule="auto"/>
        <w:jc w:val="both"/>
        <w:rPr>
          <w:rFonts w:ascii="Times New Roman" w:hAnsi="Times New Roman" w:eastAsia="仿宋" w:cs="Times New Roman"/>
          <w:color w:val="auto"/>
          <w:sz w:val="24"/>
          <w:szCs w:val="24"/>
          <w:lang w:eastAsia="zh-CN"/>
        </w:rPr>
      </w:pPr>
    </w:p>
    <w:p w14:paraId="3D46D701">
      <w:pPr>
        <w:spacing w:line="360" w:lineRule="auto"/>
        <w:jc w:val="both"/>
        <w:rPr>
          <w:rFonts w:ascii="Times New Roman" w:hAnsi="Times New Roman" w:eastAsia="仿宋" w:cs="Times New Roman"/>
          <w:color w:val="auto"/>
          <w:sz w:val="24"/>
          <w:szCs w:val="24"/>
          <w:lang w:eastAsia="zh-CN"/>
        </w:rPr>
      </w:pPr>
    </w:p>
    <w:p w14:paraId="61B316EE">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column"/>
      </w:r>
      <w:r>
        <w:rPr>
          <w:rFonts w:ascii="Times New Roman" w:hAnsi="Times New Roman" w:eastAsia="仿宋" w:cs="Times New Roman"/>
          <w:color w:val="auto"/>
          <w:sz w:val="24"/>
          <w:szCs w:val="24"/>
          <w:lang w:eastAsia="zh-CN"/>
        </w:rPr>
        <w:t xml:space="preserve">    （三）法定代表人授权委托书（格式）</w:t>
      </w:r>
    </w:p>
    <w:p w14:paraId="2E8392EF">
      <w:pPr>
        <w:spacing w:line="360" w:lineRule="auto"/>
        <w:ind w:firstLine="480"/>
        <w:jc w:val="both"/>
        <w:rPr>
          <w:rFonts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竞争性比选</w:t>
      </w:r>
      <w:r>
        <w:rPr>
          <w:rFonts w:ascii="Times New Roman" w:hAnsi="Times New Roman" w:eastAsia="仿宋" w:cs="Times New Roman"/>
          <w:color w:val="auto"/>
          <w:sz w:val="24"/>
          <w:szCs w:val="24"/>
          <w:lang w:eastAsia="zh-CN"/>
        </w:rPr>
        <w:t>项目名称：</w:t>
      </w:r>
    </w:p>
    <w:p w14:paraId="08A8B8F0">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4BCB880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（供应商法定代表人名称）是</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（供应商名称）的法定代表人，特授权</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（被授权人姓名及身份证代码）代表我单位全权办理上述项目的报价、签约等具体工作，并签署全部有关文件、协议及合同。</w:t>
      </w:r>
    </w:p>
    <w:p w14:paraId="5A2F7C1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我单位对被授权人的签署负全部责任。</w:t>
      </w:r>
    </w:p>
    <w:p w14:paraId="6AB96E7A">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在撤销授权的书面通知以前，本授权书一直有效。被授权人在授权书有效期内签署的所有文件不因授权的撤销而失效。</w:t>
      </w:r>
    </w:p>
    <w:p w14:paraId="66D02785">
      <w:pPr>
        <w:spacing w:line="360" w:lineRule="auto"/>
        <w:ind w:firstLine="480"/>
        <w:jc w:val="both"/>
        <w:rPr>
          <w:rFonts w:ascii="Times New Roman" w:hAnsi="Times New Roman" w:eastAsia="仿宋" w:cs="Times New Roman"/>
          <w:color w:val="auto"/>
          <w:sz w:val="24"/>
          <w:szCs w:val="24"/>
          <w:lang w:eastAsia="zh-CN"/>
        </w:rPr>
      </w:pPr>
    </w:p>
    <w:p w14:paraId="5A88F40E">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被授权人：                       供应商法定代表人：</w:t>
      </w:r>
    </w:p>
    <w:p w14:paraId="530795A6">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（签名或盖章）                   （签名或盖章）</w:t>
      </w:r>
    </w:p>
    <w:p w14:paraId="6504F5F7">
      <w:pPr>
        <w:spacing w:line="360" w:lineRule="auto"/>
        <w:jc w:val="both"/>
        <w:rPr>
          <w:rFonts w:ascii="Times New Roman" w:hAnsi="Times New Roman" w:eastAsia="仿宋" w:cs="Times New Roman"/>
          <w:color w:val="auto"/>
          <w:sz w:val="24"/>
          <w:szCs w:val="24"/>
          <w:lang w:eastAsia="zh-CN"/>
        </w:rPr>
      </w:pPr>
    </w:p>
    <w:p w14:paraId="0A5CFDD1">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（附：被授权人身份证正反面复印件）</w:t>
      </w:r>
    </w:p>
    <w:p w14:paraId="2C8202C9">
      <w:pPr>
        <w:spacing w:line="360" w:lineRule="auto"/>
        <w:jc w:val="both"/>
        <w:rPr>
          <w:rFonts w:ascii="Times New Roman" w:hAnsi="Times New Roman" w:eastAsia="仿宋" w:cs="Times New Roman"/>
          <w:color w:val="auto"/>
          <w:sz w:val="24"/>
          <w:szCs w:val="24"/>
          <w:lang w:eastAsia="zh-CN"/>
        </w:rPr>
      </w:pPr>
    </w:p>
    <w:p w14:paraId="12B193EB">
      <w:pPr>
        <w:spacing w:line="360" w:lineRule="auto"/>
        <w:jc w:val="both"/>
        <w:rPr>
          <w:rFonts w:ascii="Times New Roman" w:hAnsi="Times New Roman" w:eastAsia="仿宋" w:cs="Times New Roman"/>
          <w:color w:val="auto"/>
          <w:sz w:val="24"/>
          <w:szCs w:val="24"/>
          <w:lang w:eastAsia="zh-CN"/>
        </w:rPr>
      </w:pPr>
    </w:p>
    <w:p w14:paraId="41844901">
      <w:pPr>
        <w:spacing w:line="360" w:lineRule="auto"/>
        <w:jc w:val="both"/>
        <w:rPr>
          <w:rFonts w:ascii="Times New Roman" w:hAnsi="Times New Roman" w:eastAsia="仿宋" w:cs="Times New Roman"/>
          <w:color w:val="auto"/>
          <w:sz w:val="24"/>
          <w:szCs w:val="24"/>
          <w:lang w:eastAsia="zh-CN"/>
        </w:rPr>
      </w:pPr>
    </w:p>
    <w:p w14:paraId="0AF192C5">
      <w:pPr>
        <w:spacing w:line="360" w:lineRule="auto"/>
        <w:jc w:val="both"/>
        <w:rPr>
          <w:rFonts w:ascii="Times New Roman" w:hAnsi="Times New Roman" w:eastAsia="仿宋" w:cs="Times New Roman"/>
          <w:color w:val="auto"/>
          <w:sz w:val="24"/>
          <w:szCs w:val="24"/>
          <w:lang w:eastAsia="zh-CN"/>
        </w:rPr>
      </w:pPr>
    </w:p>
    <w:p w14:paraId="70983627">
      <w:pPr>
        <w:spacing w:line="360" w:lineRule="auto"/>
        <w:jc w:val="both"/>
        <w:rPr>
          <w:rFonts w:ascii="Times New Roman" w:hAnsi="Times New Roman" w:eastAsia="仿宋" w:cs="Times New Roman"/>
          <w:color w:val="auto"/>
          <w:sz w:val="24"/>
          <w:szCs w:val="24"/>
          <w:lang w:eastAsia="zh-CN"/>
        </w:rPr>
      </w:pPr>
    </w:p>
    <w:p w14:paraId="1A6264EA">
      <w:pPr>
        <w:spacing w:line="360" w:lineRule="auto"/>
        <w:jc w:val="both"/>
        <w:rPr>
          <w:rFonts w:ascii="Times New Roman" w:hAnsi="Times New Roman" w:eastAsia="仿宋" w:cs="Times New Roman"/>
          <w:color w:val="auto"/>
          <w:sz w:val="24"/>
          <w:szCs w:val="24"/>
          <w:lang w:eastAsia="zh-CN"/>
        </w:rPr>
      </w:pPr>
    </w:p>
    <w:p w14:paraId="4BC62A77">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0C57FFAF">
      <w:pPr>
        <w:spacing w:line="360" w:lineRule="auto"/>
        <w:jc w:val="both"/>
        <w:rPr>
          <w:rFonts w:ascii="Times New Roman" w:hAnsi="Times New Roman" w:eastAsia="仿宋" w:cs="Times New Roman"/>
          <w:color w:val="auto"/>
          <w:sz w:val="24"/>
          <w:szCs w:val="24"/>
          <w:lang w:eastAsia="zh-CN"/>
        </w:rPr>
      </w:pPr>
    </w:p>
    <w:p w14:paraId="26F897FF">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29EBC6B0">
      <w:pPr>
        <w:spacing w:line="360" w:lineRule="auto"/>
        <w:jc w:val="both"/>
        <w:rPr>
          <w:rFonts w:ascii="Times New Roman" w:hAnsi="Times New Roman" w:eastAsia="仿宋" w:cs="Times New Roman"/>
          <w:color w:val="auto"/>
          <w:sz w:val="24"/>
          <w:szCs w:val="24"/>
          <w:u w:val="single"/>
          <w:lang w:eastAsia="zh-CN"/>
        </w:rPr>
      </w:pPr>
      <w:r>
        <w:rPr>
          <w:rFonts w:ascii="Times New Roman" w:hAnsi="Times New Roman" w:eastAsia="仿宋" w:cs="Times New Roman"/>
          <w:color w:val="auto"/>
          <w:sz w:val="24"/>
          <w:szCs w:val="24"/>
          <w:lang w:eastAsia="zh-CN"/>
        </w:rPr>
        <w:t xml:space="preserve">    被授权人电话：</w:t>
      </w:r>
      <w:r>
        <w:rPr>
          <w:rFonts w:ascii="Times New Roman" w:hAnsi="Times New Roman" w:eastAsia="仿宋" w:cs="Times New Roman"/>
          <w:color w:val="auto"/>
          <w:sz w:val="24"/>
          <w:szCs w:val="24"/>
          <w:u w:val="single"/>
          <w:lang w:eastAsia="zh-CN"/>
        </w:rPr>
        <w:t xml:space="preserve">            </w:t>
      </w:r>
    </w:p>
    <w:p w14:paraId="5532187D">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电子邮箱：</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（若法定代表人办理并签署响应文件的可不填写）</w:t>
      </w:r>
    </w:p>
    <w:p w14:paraId="7DE26958">
      <w:pPr>
        <w:spacing w:line="360" w:lineRule="auto"/>
        <w:jc w:val="both"/>
        <w:rPr>
          <w:rFonts w:ascii="Times New Roman" w:hAnsi="Times New Roman" w:eastAsia="仿宋" w:cs="Times New Roman"/>
          <w:color w:val="auto"/>
          <w:sz w:val="24"/>
          <w:szCs w:val="24"/>
          <w:lang w:eastAsia="zh-CN"/>
        </w:rPr>
      </w:pPr>
    </w:p>
    <w:p w14:paraId="71F0516C">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注：</w:t>
      </w:r>
      <w:r>
        <w:rPr>
          <w:rFonts w:hint="eastAsia" w:ascii="Times New Roman" w:hAnsi="Times New Roman" w:eastAsia="仿宋" w:cs="Times New Roman"/>
          <w:color w:val="auto"/>
          <w:sz w:val="24"/>
          <w:szCs w:val="24"/>
          <w:lang w:val="en-US" w:eastAsia="zh-CN"/>
        </w:rPr>
        <w:t>1.</w:t>
      </w:r>
      <w:r>
        <w:rPr>
          <w:rFonts w:ascii="Times New Roman" w:hAnsi="Times New Roman" w:eastAsia="仿宋" w:cs="Times New Roman"/>
          <w:color w:val="auto"/>
          <w:sz w:val="24"/>
          <w:szCs w:val="24"/>
          <w:lang w:eastAsia="zh-CN"/>
        </w:rPr>
        <w:t>若为法定代表人办理并签署响应文件的，不提供此文件。</w:t>
      </w:r>
    </w:p>
    <w:p w14:paraId="2B709133">
      <w:pPr>
        <w:spacing w:line="360" w:lineRule="auto"/>
        <w:jc w:val="both"/>
        <w:rPr>
          <w:rFonts w:hint="default" w:ascii="Times New Roman" w:hAnsi="Times New Roman" w:eastAsia="仿宋" w:cs="Times New Roman"/>
          <w:color w:val="auto"/>
          <w:sz w:val="24"/>
          <w:szCs w:val="24"/>
          <w:lang w:val="en-US" w:eastAsia="zh-CN"/>
        </w:rPr>
      </w:pPr>
      <w:r>
        <w:rPr>
          <w:rFonts w:ascii="Times New Roman" w:hAnsi="Times New Roman" w:eastAsia="仿宋" w:cs="Times New Roman"/>
          <w:color w:val="auto"/>
          <w:sz w:val="24"/>
          <w:szCs w:val="24"/>
          <w:lang w:eastAsia="zh-CN"/>
        </w:rPr>
        <w:t xml:space="preserve">  </w:t>
      </w:r>
      <w:r>
        <w:rPr>
          <w:rFonts w:hint="eastAsia" w:ascii="Times New Roman" w:hAnsi="Times New Roman" w:eastAsia="仿宋" w:cs="Times New Roman"/>
          <w:color w:val="auto"/>
          <w:sz w:val="24"/>
          <w:szCs w:val="24"/>
          <w:lang w:val="en-US" w:eastAsia="zh-CN"/>
        </w:rPr>
        <w:t xml:space="preserve">  2.开标时请授权委托人手持一份</w:t>
      </w:r>
      <w:r>
        <w:rPr>
          <w:rFonts w:ascii="Times New Roman" w:hAnsi="Times New Roman" w:eastAsia="仿宋" w:cs="Times New Roman"/>
          <w:color w:val="auto"/>
          <w:sz w:val="24"/>
          <w:szCs w:val="24"/>
          <w:lang w:eastAsia="zh-CN"/>
        </w:rPr>
        <w:t>授权委托书</w:t>
      </w:r>
      <w:r>
        <w:rPr>
          <w:rFonts w:hint="eastAsia" w:ascii="Times New Roman" w:hAnsi="Times New Roman" w:eastAsia="仿宋" w:cs="Times New Roman"/>
          <w:color w:val="auto"/>
          <w:sz w:val="24"/>
          <w:szCs w:val="24"/>
          <w:lang w:val="en-US" w:eastAsia="zh-CN"/>
        </w:rPr>
        <w:t>提交给采购人。</w:t>
      </w:r>
    </w:p>
    <w:p w14:paraId="187F19D6">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column"/>
      </w:r>
      <w:r>
        <w:rPr>
          <w:rFonts w:ascii="Times New Roman" w:hAnsi="Times New Roman" w:eastAsia="仿宋" w:cs="Times New Roman"/>
          <w:b/>
          <w:bCs/>
          <w:color w:val="auto"/>
          <w:sz w:val="24"/>
          <w:szCs w:val="24"/>
          <w:lang w:eastAsia="zh-CN"/>
        </w:rPr>
        <w:t>（四）基本资格条件承诺函（格式）</w:t>
      </w:r>
    </w:p>
    <w:p w14:paraId="23F42B23">
      <w:pPr>
        <w:spacing w:line="360" w:lineRule="auto"/>
        <w:jc w:val="both"/>
        <w:rPr>
          <w:rFonts w:ascii="Times New Roman" w:hAnsi="Times New Roman" w:eastAsia="仿宋" w:cs="Times New Roman"/>
          <w:b/>
          <w:bCs/>
          <w:color w:val="auto"/>
          <w:sz w:val="24"/>
          <w:szCs w:val="24"/>
          <w:lang w:eastAsia="zh-CN"/>
        </w:rPr>
      </w:pPr>
    </w:p>
    <w:p w14:paraId="5F0EE515">
      <w:pPr>
        <w:spacing w:line="360" w:lineRule="auto"/>
        <w:jc w:val="center"/>
        <w:rPr>
          <w:rFonts w:ascii="Times New Roman" w:hAnsi="Times New Roman" w:eastAsia="仿宋" w:cs="Times New Roman"/>
          <w:b/>
          <w:bCs/>
          <w:color w:val="auto"/>
          <w:sz w:val="36"/>
          <w:szCs w:val="36"/>
          <w:lang w:eastAsia="zh-CN"/>
        </w:rPr>
      </w:pPr>
      <w:r>
        <w:rPr>
          <w:rFonts w:ascii="Times New Roman" w:hAnsi="Times New Roman" w:eastAsia="仿宋" w:cs="Times New Roman"/>
          <w:b/>
          <w:bCs/>
          <w:color w:val="auto"/>
          <w:sz w:val="36"/>
          <w:szCs w:val="36"/>
          <w:lang w:eastAsia="zh-CN"/>
        </w:rPr>
        <w:t>基本资格条件承诺函</w:t>
      </w:r>
    </w:p>
    <w:p w14:paraId="59773543">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（采购人名称）：</w:t>
      </w:r>
    </w:p>
    <w:p w14:paraId="4D4334FD">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（供应商名称）郑重承诺：</w:t>
      </w:r>
    </w:p>
    <w:p w14:paraId="2654AC1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1.我方具有良好的商业信誉和健全的财务会计制度，具有履行合同所必需的设备和专业技术能力，具</w:t>
      </w:r>
      <w:r>
        <w:rPr>
          <w:rFonts w:ascii="Times New Roman" w:hAnsi="Times New Roman" w:eastAsia="仿宋" w:cs="Times New Roman"/>
          <w:color w:val="auto"/>
          <w:sz w:val="24"/>
          <w:szCs w:val="24"/>
          <w:lang w:val="zh-CN" w:eastAsia="zh-CN"/>
        </w:rPr>
        <w:t>有依法纳税和缴纳社会保障金的良好记录</w:t>
      </w:r>
      <w:r>
        <w:rPr>
          <w:rFonts w:ascii="Times New Roman" w:hAnsi="Times New Roman" w:eastAsia="仿宋" w:cs="Times New Roman"/>
          <w:color w:val="auto"/>
          <w:sz w:val="24"/>
          <w:szCs w:val="24"/>
          <w:lang w:eastAsia="zh-CN"/>
        </w:rPr>
        <w:t>，参加本项目采购活动前3年内无重大违法活动记录。</w:t>
      </w:r>
    </w:p>
    <w:p w14:paraId="195AFAEC">
      <w:pPr>
        <w:spacing w:line="360" w:lineRule="auto"/>
        <w:ind w:firstLine="48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lang w:eastAsia="zh-CN"/>
        </w:rPr>
        <w:t>2.</w:t>
      </w:r>
      <w:r>
        <w:rPr>
          <w:rFonts w:ascii="Times New Roman" w:hAnsi="Times New Roman" w:eastAsia="仿宋" w:cs="Times New Roman"/>
          <w:color w:val="auto"/>
          <w:sz w:val="24"/>
          <w:szCs w:val="24"/>
        </w:rPr>
        <w:t>我方未列入在信用中国网站（www.creditchina.gov.cn）“失信被执行人”、“重大税收违法案件当事人名单”中，也未列入中国政府采购网（www.ccgp.gov.cn）“政府采购严重违法失信行为记录名单”中。</w:t>
      </w:r>
    </w:p>
    <w:p w14:paraId="52590048">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3.我方在采购项目评审（评标）环节结束后，随时接受采购人的检查验证，配合提供相关证明材料，证明符合规定的供应商基本资格条件。</w:t>
      </w:r>
    </w:p>
    <w:p w14:paraId="3B6CAE1C">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我方对以上承诺负全部法律责任。</w:t>
      </w:r>
    </w:p>
    <w:p w14:paraId="53604DD9">
      <w:pPr>
        <w:spacing w:line="360" w:lineRule="auto"/>
        <w:ind w:firstLine="48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特此承诺。</w:t>
      </w:r>
    </w:p>
    <w:p w14:paraId="30976A54">
      <w:pPr>
        <w:spacing w:line="360" w:lineRule="auto"/>
        <w:ind w:firstLine="480"/>
        <w:jc w:val="both"/>
        <w:rPr>
          <w:rFonts w:ascii="Times New Roman" w:hAnsi="Times New Roman" w:eastAsia="仿宋" w:cs="Times New Roman"/>
          <w:color w:val="auto"/>
          <w:sz w:val="24"/>
          <w:szCs w:val="24"/>
          <w:lang w:eastAsia="zh-CN"/>
        </w:rPr>
      </w:pPr>
    </w:p>
    <w:p w14:paraId="3BD6F2F4">
      <w:pPr>
        <w:spacing w:line="360" w:lineRule="auto"/>
        <w:ind w:firstLine="480"/>
        <w:jc w:val="both"/>
        <w:rPr>
          <w:rFonts w:ascii="Times New Roman" w:hAnsi="Times New Roman" w:eastAsia="仿宋" w:cs="Times New Roman"/>
          <w:color w:val="auto"/>
          <w:sz w:val="24"/>
          <w:szCs w:val="24"/>
          <w:lang w:eastAsia="zh-CN"/>
        </w:rPr>
      </w:pPr>
    </w:p>
    <w:p w14:paraId="40335DB2">
      <w:pPr>
        <w:spacing w:line="360" w:lineRule="auto"/>
        <w:jc w:val="both"/>
        <w:rPr>
          <w:rFonts w:ascii="Times New Roman" w:hAnsi="Times New Roman" w:eastAsia="仿宋" w:cs="Times New Roman"/>
          <w:color w:val="auto"/>
          <w:sz w:val="24"/>
          <w:szCs w:val="24"/>
          <w:lang w:eastAsia="zh-CN"/>
        </w:rPr>
      </w:pPr>
    </w:p>
    <w:p w14:paraId="0D9E5474">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（供应商公章）</w:t>
      </w:r>
    </w:p>
    <w:p w14:paraId="0E1A9101">
      <w:pPr>
        <w:spacing w:line="360" w:lineRule="auto"/>
        <w:ind w:firstLine="480"/>
        <w:jc w:val="right"/>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202</w:t>
      </w:r>
      <w:r>
        <w:rPr>
          <w:rFonts w:hint="eastAsia" w:ascii="Times New Roman" w:hAnsi="Times New Roman" w:eastAsia="仿宋" w:cs="Times New Roman"/>
          <w:color w:val="auto"/>
          <w:sz w:val="24"/>
          <w:szCs w:val="24"/>
          <w:lang w:val="en-US" w:eastAsia="zh-CN"/>
        </w:rPr>
        <w:t>6</w:t>
      </w:r>
      <w:r>
        <w:rPr>
          <w:rFonts w:ascii="Times New Roman" w:hAnsi="Times New Roman" w:eastAsia="仿宋" w:cs="Times New Roman"/>
          <w:color w:val="auto"/>
          <w:sz w:val="24"/>
          <w:szCs w:val="24"/>
          <w:lang w:eastAsia="zh-CN"/>
        </w:rPr>
        <w:t>年</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月</w:t>
      </w:r>
      <w:r>
        <w:rPr>
          <w:rFonts w:ascii="Times New Roman" w:hAnsi="Times New Roman" w:eastAsia="仿宋" w:cs="Times New Roman"/>
          <w:color w:val="auto"/>
          <w:sz w:val="24"/>
          <w:szCs w:val="24"/>
          <w:u w:val="single"/>
          <w:lang w:eastAsia="zh-CN"/>
        </w:rPr>
        <w:t xml:space="preserve">    </w:t>
      </w:r>
      <w:r>
        <w:rPr>
          <w:rFonts w:ascii="Times New Roman" w:hAnsi="Times New Roman" w:eastAsia="仿宋" w:cs="Times New Roman"/>
          <w:color w:val="auto"/>
          <w:sz w:val="24"/>
          <w:szCs w:val="24"/>
          <w:lang w:eastAsia="zh-CN"/>
        </w:rPr>
        <w:t>日</w:t>
      </w:r>
    </w:p>
    <w:p w14:paraId="2C3982F2">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page"/>
      </w:r>
      <w:r>
        <w:rPr>
          <w:rFonts w:ascii="Times New Roman" w:hAnsi="Times New Roman" w:eastAsia="仿宋" w:cs="Times New Roman"/>
          <w:b/>
          <w:bCs/>
          <w:color w:val="auto"/>
          <w:sz w:val="24"/>
          <w:szCs w:val="24"/>
          <w:lang w:eastAsia="zh-CN"/>
        </w:rPr>
        <w:t>（五）特定资格条件证书或证明文件</w:t>
      </w:r>
    </w:p>
    <w:p w14:paraId="30598B42">
      <w:pPr>
        <w:spacing w:line="360" w:lineRule="auto"/>
        <w:jc w:val="both"/>
        <w:rPr>
          <w:rFonts w:ascii="Times New Roman" w:hAnsi="Times New Roman" w:eastAsia="仿宋" w:cs="Times New Roman"/>
          <w:b/>
          <w:bCs/>
          <w:color w:val="auto"/>
          <w:sz w:val="24"/>
          <w:szCs w:val="24"/>
          <w:lang w:eastAsia="zh-CN"/>
        </w:rPr>
      </w:pPr>
      <w:r>
        <w:rPr>
          <w:rFonts w:ascii="Times New Roman" w:hAnsi="Times New Roman" w:eastAsia="仿宋" w:cs="Times New Roman"/>
          <w:color w:val="auto"/>
          <w:sz w:val="24"/>
          <w:szCs w:val="24"/>
          <w:lang w:eastAsia="zh-CN"/>
        </w:rPr>
        <w:br w:type="page"/>
      </w:r>
      <w:bookmarkStart w:id="246" w:name="_Toc17010"/>
      <w:bookmarkStart w:id="247" w:name="_Toc106034812"/>
      <w:bookmarkStart w:id="248" w:name="_Toc65660383"/>
      <w:bookmarkStart w:id="249" w:name="_Toc2080"/>
      <w:bookmarkStart w:id="250" w:name="_Toc15815"/>
      <w:r>
        <w:rPr>
          <w:rFonts w:ascii="Times New Roman" w:hAnsi="Times New Roman" w:eastAsia="仿宋" w:cs="Times New Roman"/>
          <w:b/>
          <w:bCs/>
          <w:color w:val="auto"/>
          <w:sz w:val="24"/>
          <w:szCs w:val="24"/>
          <w:lang w:eastAsia="zh-CN"/>
        </w:rPr>
        <w:t xml:space="preserve">    五、</w:t>
      </w:r>
      <w:bookmarkEnd w:id="243"/>
      <w:bookmarkEnd w:id="244"/>
      <w:bookmarkEnd w:id="245"/>
      <w:r>
        <w:rPr>
          <w:rFonts w:ascii="Times New Roman" w:hAnsi="Times New Roman" w:eastAsia="仿宋" w:cs="Times New Roman"/>
          <w:b/>
          <w:bCs/>
          <w:color w:val="auto"/>
          <w:sz w:val="24"/>
          <w:szCs w:val="24"/>
          <w:lang w:eastAsia="zh-CN"/>
        </w:rPr>
        <w:t>其他资料</w:t>
      </w:r>
      <w:bookmarkEnd w:id="246"/>
      <w:bookmarkEnd w:id="247"/>
      <w:bookmarkEnd w:id="248"/>
      <w:bookmarkEnd w:id="249"/>
      <w:bookmarkEnd w:id="250"/>
    </w:p>
    <w:p w14:paraId="2C82991F">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    </w:t>
      </w:r>
      <w:r>
        <w:rPr>
          <w:rFonts w:hint="eastAsia" w:ascii="Times New Roman" w:hAnsi="Times New Roman" w:eastAsia="仿宋" w:cs="Times New Roman"/>
          <w:color w:val="auto"/>
          <w:sz w:val="24"/>
          <w:szCs w:val="24"/>
          <w:lang w:eastAsia="zh-CN"/>
        </w:rPr>
        <w:t>（一）承诺书</w:t>
      </w:r>
    </w:p>
    <w:p w14:paraId="0BED9055">
      <w:pPr>
        <w:kinsoku/>
        <w:autoSpaceDE/>
        <w:autoSpaceDN/>
        <w:adjustRightInd/>
        <w:snapToGrid/>
        <w:jc w:val="center"/>
        <w:textAlignment w:val="auto"/>
        <w:rPr>
          <w:rFonts w:ascii="Times New Roman" w:hAnsi="Times New Roman" w:eastAsia="仿宋" w:cs="Times New Roman"/>
          <w:b/>
          <w:bCs/>
          <w:color w:val="auto"/>
          <w:sz w:val="32"/>
          <w:szCs w:val="32"/>
          <w:lang w:eastAsia="zh-CN"/>
        </w:rPr>
      </w:pPr>
      <w:r>
        <w:rPr>
          <w:rFonts w:hint="eastAsia" w:ascii="Times New Roman" w:hAnsi="Times New Roman" w:eastAsia="仿宋" w:cs="Times New Roman"/>
          <w:b/>
          <w:bCs/>
          <w:color w:val="auto"/>
          <w:sz w:val="32"/>
          <w:szCs w:val="32"/>
          <w:lang w:eastAsia="zh-CN"/>
        </w:rPr>
        <w:t>承诺书</w:t>
      </w:r>
    </w:p>
    <w:p w14:paraId="65C1832F">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1、我方已完全知晓本次竞争性比选文件以及清单、图纸、补遗、澄清通知等全部内容。</w:t>
      </w:r>
    </w:p>
    <w:p w14:paraId="30AA4E57">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2、我方完全响应采购人的项目技术需求、商务需求以及采购合同（格式样本）中的内容。</w:t>
      </w:r>
    </w:p>
    <w:p w14:paraId="4BD298FC">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3、我方对以上承诺负全部法律责任。</w:t>
      </w:r>
    </w:p>
    <w:p w14:paraId="6943DF80">
      <w:pPr>
        <w:tabs>
          <w:tab w:val="left" w:pos="6300"/>
        </w:tabs>
        <w:spacing w:line="500" w:lineRule="exact"/>
        <w:ind w:firstLine="480"/>
        <w:rPr>
          <w:rFonts w:hint="eastAsia" w:ascii="仿宋" w:hAnsi="仿宋" w:eastAsia="仿宋" w:cs="宋体"/>
          <w:sz w:val="24"/>
          <w:szCs w:val="24"/>
          <w:lang w:eastAsia="zh-CN"/>
        </w:rPr>
      </w:pPr>
      <w:r>
        <w:rPr>
          <w:rFonts w:hint="eastAsia" w:ascii="仿宋" w:hAnsi="仿宋" w:eastAsia="仿宋" w:cs="宋体"/>
          <w:sz w:val="24"/>
          <w:szCs w:val="24"/>
          <w:lang w:eastAsia="zh-CN"/>
        </w:rPr>
        <w:t>特此承诺。</w:t>
      </w:r>
    </w:p>
    <w:p w14:paraId="2D5515CE">
      <w:pPr>
        <w:spacing w:line="360" w:lineRule="auto"/>
        <w:jc w:val="both"/>
        <w:rPr>
          <w:rFonts w:hint="eastAsia" w:ascii="仿宋" w:hAnsi="仿宋" w:eastAsia="仿宋" w:cs="Times New Roman"/>
          <w:color w:val="auto"/>
          <w:sz w:val="24"/>
          <w:szCs w:val="24"/>
          <w:lang w:eastAsia="zh-CN"/>
        </w:rPr>
      </w:pPr>
      <w:r>
        <w:rPr>
          <w:rFonts w:ascii="仿宋" w:hAnsi="仿宋" w:eastAsia="仿宋" w:cs="Times New Roman"/>
          <w:color w:val="auto"/>
          <w:sz w:val="24"/>
          <w:szCs w:val="24"/>
          <w:lang w:eastAsia="zh-CN"/>
        </w:rPr>
        <w:t xml:space="preserve">  </w:t>
      </w:r>
    </w:p>
    <w:p w14:paraId="09CC9D5A">
      <w:pPr>
        <w:spacing w:line="360" w:lineRule="auto"/>
        <w:jc w:val="both"/>
        <w:rPr>
          <w:rFonts w:hint="eastAsia" w:ascii="仿宋" w:hAnsi="仿宋" w:eastAsia="仿宋" w:cs="Times New Roman"/>
          <w:color w:val="auto"/>
          <w:sz w:val="24"/>
          <w:szCs w:val="24"/>
          <w:lang w:eastAsia="zh-CN"/>
        </w:rPr>
      </w:pPr>
    </w:p>
    <w:p w14:paraId="3C275492">
      <w:pPr>
        <w:spacing w:line="360" w:lineRule="auto"/>
        <w:jc w:val="both"/>
        <w:rPr>
          <w:rFonts w:hint="eastAsia" w:ascii="仿宋" w:hAnsi="仿宋" w:eastAsia="仿宋" w:cs="Times New Roman"/>
          <w:color w:val="auto"/>
          <w:sz w:val="24"/>
          <w:szCs w:val="24"/>
          <w:lang w:eastAsia="zh-CN"/>
        </w:rPr>
      </w:pPr>
    </w:p>
    <w:p w14:paraId="0C0E2947">
      <w:pPr>
        <w:spacing w:line="360" w:lineRule="auto"/>
        <w:jc w:val="both"/>
        <w:rPr>
          <w:rFonts w:hint="eastAsia" w:ascii="仿宋" w:hAnsi="仿宋" w:eastAsia="仿宋" w:cs="Times New Roman"/>
          <w:color w:val="auto"/>
          <w:sz w:val="24"/>
          <w:szCs w:val="24"/>
          <w:lang w:eastAsia="zh-CN"/>
        </w:rPr>
      </w:pPr>
    </w:p>
    <w:p w14:paraId="198CF79A">
      <w:pPr>
        <w:spacing w:line="360" w:lineRule="auto"/>
        <w:ind w:firstLine="5280" w:firstLineChars="2200"/>
        <w:jc w:val="both"/>
        <w:rPr>
          <w:rFonts w:hint="eastAsia" w:ascii="仿宋" w:hAnsi="仿宋" w:eastAsia="仿宋" w:cs="Times New Roman"/>
          <w:color w:val="auto"/>
          <w:sz w:val="24"/>
          <w:szCs w:val="24"/>
          <w:lang w:eastAsia="zh-CN"/>
        </w:rPr>
      </w:pP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（供应商公章）</w:t>
      </w:r>
    </w:p>
    <w:p w14:paraId="50039CA5">
      <w:pPr>
        <w:spacing w:line="360" w:lineRule="auto"/>
        <w:ind w:firstLine="480"/>
        <w:jc w:val="right"/>
        <w:rPr>
          <w:rFonts w:hint="eastAsia" w:ascii="仿宋" w:hAnsi="仿宋" w:eastAsia="仿宋" w:cs="Times New Roman"/>
          <w:color w:val="auto"/>
          <w:sz w:val="24"/>
          <w:szCs w:val="24"/>
          <w:lang w:eastAsia="zh-CN"/>
        </w:rPr>
      </w:pPr>
      <w:r>
        <w:rPr>
          <w:rFonts w:ascii="仿宋" w:hAnsi="仿宋" w:eastAsia="仿宋" w:cs="Times New Roman"/>
          <w:color w:val="auto"/>
          <w:sz w:val="24"/>
          <w:szCs w:val="24"/>
          <w:lang w:eastAsia="zh-CN"/>
        </w:rPr>
        <w:t>202</w:t>
      </w:r>
      <w:r>
        <w:rPr>
          <w:rFonts w:hint="eastAsia" w:ascii="仿宋" w:hAnsi="仿宋" w:eastAsia="仿宋" w:cs="Times New Roman"/>
          <w:color w:val="auto"/>
          <w:sz w:val="24"/>
          <w:szCs w:val="24"/>
          <w:lang w:val="en-US" w:eastAsia="zh-CN"/>
        </w:rPr>
        <w:t>6</w:t>
      </w:r>
      <w:bookmarkStart w:id="251" w:name="_GoBack"/>
      <w:bookmarkEnd w:id="251"/>
      <w:r>
        <w:rPr>
          <w:rFonts w:ascii="仿宋" w:hAnsi="仿宋" w:eastAsia="仿宋" w:cs="Times New Roman"/>
          <w:color w:val="auto"/>
          <w:sz w:val="24"/>
          <w:szCs w:val="24"/>
          <w:lang w:eastAsia="zh-CN"/>
        </w:rPr>
        <w:t>年</w:t>
      </w: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月</w:t>
      </w:r>
      <w:r>
        <w:rPr>
          <w:rFonts w:ascii="仿宋" w:hAnsi="仿宋" w:eastAsia="仿宋" w:cs="Times New Roman"/>
          <w:color w:val="auto"/>
          <w:sz w:val="24"/>
          <w:szCs w:val="24"/>
          <w:u w:val="single"/>
          <w:lang w:eastAsia="zh-CN"/>
        </w:rPr>
        <w:t xml:space="preserve">    </w:t>
      </w:r>
      <w:r>
        <w:rPr>
          <w:rFonts w:ascii="仿宋" w:hAnsi="仿宋" w:eastAsia="仿宋" w:cs="Times New Roman"/>
          <w:color w:val="auto"/>
          <w:sz w:val="24"/>
          <w:szCs w:val="24"/>
          <w:lang w:eastAsia="zh-CN"/>
        </w:rPr>
        <w:t>日</w:t>
      </w:r>
    </w:p>
    <w:p w14:paraId="5F01E1D0">
      <w:pPr>
        <w:kinsoku/>
        <w:autoSpaceDE/>
        <w:autoSpaceDN/>
        <w:adjustRightInd/>
        <w:snapToGrid/>
        <w:textAlignment w:val="auto"/>
        <w:rPr>
          <w:rFonts w:hint="eastAsia" w:ascii="仿宋" w:hAnsi="仿宋" w:eastAsia="仿宋" w:cs="Times New Roman"/>
          <w:color w:val="auto"/>
          <w:sz w:val="24"/>
          <w:szCs w:val="24"/>
          <w:lang w:eastAsia="zh-CN"/>
        </w:rPr>
      </w:pPr>
    </w:p>
    <w:p w14:paraId="298B027D">
      <w:pPr>
        <w:kinsoku/>
        <w:autoSpaceDE/>
        <w:autoSpaceDN/>
        <w:adjustRightInd/>
        <w:snapToGrid/>
        <w:textAlignment w:val="auto"/>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br w:type="page"/>
      </w:r>
    </w:p>
    <w:p w14:paraId="76402609">
      <w:pPr>
        <w:spacing w:line="360" w:lineRule="auto"/>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lang w:eastAsia="zh-CN"/>
        </w:rPr>
        <w:t>二</w:t>
      </w:r>
      <w:r>
        <w:rPr>
          <w:rFonts w:ascii="Times New Roman" w:hAnsi="Times New Roman" w:eastAsia="仿宋" w:cs="Times New Roman"/>
          <w:color w:val="auto"/>
          <w:sz w:val="24"/>
          <w:szCs w:val="24"/>
          <w:lang w:eastAsia="zh-CN"/>
        </w:rPr>
        <w:t>）其他与项目有关的资料（自附）</w:t>
      </w:r>
    </w:p>
    <w:p w14:paraId="160016EA">
      <w:pPr>
        <w:spacing w:line="360" w:lineRule="auto"/>
        <w:jc w:val="both"/>
        <w:rPr>
          <w:rFonts w:ascii="Times New Roman" w:hAnsi="Times New Roman" w:eastAsia="仿宋" w:cs="Times New Roman"/>
          <w:color w:val="auto"/>
          <w:sz w:val="24"/>
          <w:szCs w:val="24"/>
          <w:lang w:eastAsia="zh-CN"/>
        </w:rPr>
      </w:pPr>
    </w:p>
    <w:p w14:paraId="1C7BDB5D">
      <w:pPr>
        <w:spacing w:line="360" w:lineRule="auto"/>
        <w:jc w:val="both"/>
        <w:rPr>
          <w:rFonts w:ascii="Times New Roman" w:hAnsi="Times New Roman" w:eastAsia="仿宋" w:cs="Times New Roman"/>
          <w:color w:val="auto"/>
          <w:sz w:val="24"/>
          <w:szCs w:val="24"/>
          <w:lang w:eastAsia="zh-CN"/>
        </w:rPr>
      </w:pPr>
    </w:p>
    <w:p w14:paraId="569B35C8">
      <w:pPr>
        <w:spacing w:line="360" w:lineRule="auto"/>
        <w:jc w:val="both"/>
        <w:rPr>
          <w:rFonts w:ascii="Times New Roman" w:hAnsi="Times New Roman" w:eastAsia="仿宋" w:cs="Times New Roman"/>
          <w:color w:val="auto"/>
          <w:sz w:val="24"/>
          <w:szCs w:val="24"/>
          <w:lang w:eastAsia="zh-CN"/>
        </w:rPr>
      </w:pPr>
    </w:p>
    <w:p w14:paraId="1B6B1FF0">
      <w:pPr>
        <w:spacing w:line="360" w:lineRule="auto"/>
        <w:jc w:val="both"/>
        <w:rPr>
          <w:rFonts w:ascii="Times New Roman" w:hAnsi="Times New Roman" w:eastAsia="仿宋" w:cs="Times New Roman"/>
          <w:color w:val="auto"/>
          <w:sz w:val="24"/>
          <w:szCs w:val="24"/>
          <w:lang w:eastAsia="zh-CN"/>
        </w:rPr>
      </w:pPr>
    </w:p>
    <w:p w14:paraId="77B4EB56">
      <w:pPr>
        <w:spacing w:line="360" w:lineRule="auto"/>
        <w:jc w:val="both"/>
        <w:rPr>
          <w:rFonts w:ascii="Times New Roman" w:hAnsi="Times New Roman" w:eastAsia="仿宋" w:cs="Times New Roman"/>
          <w:color w:val="auto"/>
          <w:sz w:val="24"/>
          <w:szCs w:val="24"/>
          <w:lang w:eastAsia="zh-CN"/>
        </w:rPr>
      </w:pPr>
    </w:p>
    <w:p w14:paraId="72B54870">
      <w:pPr>
        <w:spacing w:line="360" w:lineRule="auto"/>
        <w:jc w:val="both"/>
        <w:rPr>
          <w:rFonts w:ascii="Times New Roman" w:hAnsi="Times New Roman" w:eastAsia="仿宋" w:cs="Times New Roman"/>
          <w:color w:val="auto"/>
          <w:sz w:val="24"/>
          <w:szCs w:val="24"/>
          <w:lang w:eastAsia="zh-CN"/>
        </w:rPr>
      </w:pPr>
    </w:p>
    <w:p w14:paraId="2FA8D6D1">
      <w:pPr>
        <w:spacing w:line="360" w:lineRule="auto"/>
        <w:jc w:val="both"/>
        <w:rPr>
          <w:rFonts w:ascii="Times New Roman" w:hAnsi="Times New Roman" w:eastAsia="仿宋" w:cs="Times New Roman"/>
          <w:color w:val="auto"/>
          <w:sz w:val="24"/>
          <w:szCs w:val="24"/>
          <w:lang w:eastAsia="zh-CN"/>
        </w:rPr>
      </w:pPr>
    </w:p>
    <w:p w14:paraId="7B45D994">
      <w:pPr>
        <w:spacing w:line="360" w:lineRule="auto"/>
        <w:jc w:val="both"/>
        <w:rPr>
          <w:rFonts w:ascii="Times New Roman" w:hAnsi="Times New Roman" w:eastAsia="仿宋" w:cs="Times New Roman"/>
          <w:color w:val="auto"/>
          <w:sz w:val="24"/>
          <w:szCs w:val="24"/>
          <w:lang w:eastAsia="zh-CN"/>
        </w:rPr>
      </w:pPr>
    </w:p>
    <w:p w14:paraId="41B8F1CF">
      <w:pPr>
        <w:spacing w:line="360" w:lineRule="auto"/>
        <w:jc w:val="both"/>
        <w:rPr>
          <w:rFonts w:ascii="Times New Roman" w:hAnsi="Times New Roman" w:eastAsia="仿宋" w:cs="Times New Roman"/>
          <w:color w:val="auto"/>
          <w:sz w:val="24"/>
          <w:szCs w:val="24"/>
          <w:lang w:eastAsia="zh-CN"/>
        </w:rPr>
      </w:pPr>
    </w:p>
    <w:p w14:paraId="6F217387">
      <w:pPr>
        <w:spacing w:line="360" w:lineRule="auto"/>
        <w:jc w:val="both"/>
        <w:rPr>
          <w:rFonts w:ascii="Times New Roman" w:hAnsi="Times New Roman" w:eastAsia="仿宋" w:cs="Times New Roman"/>
          <w:color w:val="auto"/>
          <w:sz w:val="24"/>
          <w:szCs w:val="24"/>
          <w:lang w:eastAsia="zh-CN"/>
        </w:rPr>
      </w:pPr>
    </w:p>
    <w:p w14:paraId="715A005F">
      <w:pPr>
        <w:spacing w:line="360" w:lineRule="auto"/>
        <w:jc w:val="both"/>
        <w:rPr>
          <w:rFonts w:ascii="Times New Roman" w:hAnsi="Times New Roman" w:eastAsia="仿宋" w:cs="Times New Roman"/>
          <w:color w:val="auto"/>
          <w:sz w:val="24"/>
          <w:szCs w:val="24"/>
          <w:lang w:eastAsia="zh-CN"/>
        </w:rPr>
      </w:pPr>
    </w:p>
    <w:p w14:paraId="24CD1FF2">
      <w:pPr>
        <w:spacing w:line="360" w:lineRule="auto"/>
        <w:jc w:val="both"/>
        <w:rPr>
          <w:rFonts w:ascii="Times New Roman" w:hAnsi="Times New Roman" w:eastAsia="仿宋" w:cs="Times New Roman"/>
          <w:color w:val="auto"/>
          <w:sz w:val="24"/>
          <w:szCs w:val="24"/>
          <w:lang w:eastAsia="zh-CN"/>
        </w:rPr>
      </w:pPr>
    </w:p>
    <w:p w14:paraId="6C4F3BE3">
      <w:pPr>
        <w:spacing w:line="360" w:lineRule="auto"/>
        <w:jc w:val="both"/>
        <w:rPr>
          <w:rFonts w:ascii="Times New Roman" w:hAnsi="Times New Roman" w:eastAsia="仿宋" w:cs="Times New Roman"/>
          <w:color w:val="auto"/>
          <w:sz w:val="24"/>
          <w:szCs w:val="24"/>
          <w:lang w:eastAsia="zh-CN"/>
        </w:rPr>
      </w:pPr>
    </w:p>
    <w:p w14:paraId="36B95D6A">
      <w:pPr>
        <w:spacing w:line="360" w:lineRule="auto"/>
        <w:jc w:val="both"/>
        <w:rPr>
          <w:rFonts w:ascii="Times New Roman" w:hAnsi="Times New Roman" w:eastAsia="仿宋" w:cs="Times New Roman"/>
          <w:color w:val="auto"/>
          <w:sz w:val="24"/>
          <w:szCs w:val="24"/>
          <w:lang w:eastAsia="zh-CN"/>
        </w:rPr>
      </w:pPr>
    </w:p>
    <w:p w14:paraId="00417F5B">
      <w:pPr>
        <w:spacing w:line="360" w:lineRule="auto"/>
        <w:jc w:val="both"/>
        <w:rPr>
          <w:rFonts w:ascii="Times New Roman" w:hAnsi="Times New Roman" w:eastAsia="仿宋" w:cs="Times New Roman"/>
          <w:color w:val="auto"/>
          <w:sz w:val="24"/>
          <w:szCs w:val="24"/>
          <w:lang w:eastAsia="zh-CN"/>
        </w:rPr>
      </w:pPr>
    </w:p>
    <w:p w14:paraId="6BBF8359">
      <w:pPr>
        <w:spacing w:line="360" w:lineRule="auto"/>
        <w:jc w:val="both"/>
        <w:rPr>
          <w:rFonts w:ascii="Times New Roman" w:hAnsi="Times New Roman" w:eastAsia="仿宋" w:cs="Times New Roman"/>
          <w:color w:val="auto"/>
          <w:sz w:val="24"/>
          <w:szCs w:val="24"/>
          <w:lang w:eastAsia="zh-CN"/>
        </w:rPr>
      </w:pPr>
    </w:p>
    <w:p w14:paraId="2D1EDD81">
      <w:pPr>
        <w:spacing w:line="360" w:lineRule="auto"/>
        <w:jc w:val="both"/>
        <w:rPr>
          <w:rFonts w:ascii="Times New Roman" w:hAnsi="Times New Roman" w:eastAsia="仿宋" w:cs="Times New Roman"/>
          <w:color w:val="auto"/>
          <w:sz w:val="24"/>
          <w:szCs w:val="24"/>
          <w:lang w:eastAsia="zh-CN"/>
        </w:rPr>
      </w:pPr>
    </w:p>
    <w:p w14:paraId="14245C95">
      <w:pPr>
        <w:spacing w:line="360" w:lineRule="auto"/>
        <w:jc w:val="both"/>
        <w:rPr>
          <w:rFonts w:ascii="Times New Roman" w:hAnsi="Times New Roman" w:eastAsia="仿宋" w:cs="Times New Roman"/>
          <w:color w:val="auto"/>
          <w:sz w:val="24"/>
          <w:szCs w:val="24"/>
          <w:lang w:eastAsia="zh-CN"/>
        </w:rPr>
      </w:pPr>
    </w:p>
    <w:p w14:paraId="520074E1">
      <w:pPr>
        <w:spacing w:line="360" w:lineRule="auto"/>
        <w:jc w:val="both"/>
        <w:rPr>
          <w:rFonts w:ascii="Times New Roman" w:hAnsi="Times New Roman" w:eastAsia="仿宋" w:cs="Times New Roman"/>
          <w:color w:val="auto"/>
          <w:sz w:val="24"/>
          <w:szCs w:val="24"/>
          <w:lang w:eastAsia="zh-CN"/>
        </w:rPr>
      </w:pPr>
    </w:p>
    <w:p w14:paraId="7690B0C7">
      <w:pPr>
        <w:spacing w:line="360" w:lineRule="auto"/>
        <w:jc w:val="both"/>
        <w:rPr>
          <w:rFonts w:ascii="Times New Roman" w:hAnsi="Times New Roman" w:eastAsia="仿宋" w:cs="Times New Roman"/>
          <w:color w:val="auto"/>
          <w:sz w:val="24"/>
          <w:szCs w:val="24"/>
          <w:lang w:eastAsia="zh-CN"/>
        </w:rPr>
      </w:pPr>
    </w:p>
    <w:p w14:paraId="27DAC8B7">
      <w:pPr>
        <w:spacing w:line="360" w:lineRule="auto"/>
        <w:jc w:val="both"/>
        <w:rPr>
          <w:rFonts w:ascii="Times New Roman" w:hAnsi="Times New Roman" w:eastAsia="仿宋" w:cs="Times New Roman"/>
          <w:color w:val="auto"/>
          <w:sz w:val="24"/>
          <w:szCs w:val="24"/>
          <w:lang w:eastAsia="zh-CN"/>
        </w:rPr>
      </w:pPr>
    </w:p>
    <w:p w14:paraId="0F52E93A">
      <w:pPr>
        <w:spacing w:line="360" w:lineRule="auto"/>
        <w:jc w:val="both"/>
        <w:rPr>
          <w:rFonts w:ascii="Times New Roman" w:hAnsi="Times New Roman" w:eastAsia="仿宋" w:cs="Times New Roman"/>
          <w:color w:val="auto"/>
          <w:sz w:val="24"/>
          <w:szCs w:val="24"/>
          <w:lang w:eastAsia="zh-CN"/>
        </w:rPr>
      </w:pPr>
    </w:p>
    <w:p w14:paraId="7ACA1A40">
      <w:pPr>
        <w:spacing w:line="360" w:lineRule="auto"/>
        <w:jc w:val="righ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（结束）</w:t>
      </w:r>
    </w:p>
    <w:p w14:paraId="365E14B1">
      <w:pPr>
        <w:spacing w:line="360" w:lineRule="auto"/>
        <w:jc w:val="both"/>
        <w:rPr>
          <w:rFonts w:ascii="Times New Roman" w:hAnsi="Times New Roman" w:eastAsia="仿宋" w:cs="Times New Roman"/>
          <w:color w:val="auto"/>
          <w:sz w:val="24"/>
          <w:szCs w:val="24"/>
        </w:rPr>
      </w:pPr>
    </w:p>
    <w:sectPr>
      <w:pgSz w:w="11907" w:h="16840"/>
      <w:pgMar w:top="1417" w:right="1417" w:bottom="1417" w:left="141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4CEE8B-D7D7-41B7-9E96-9501BA8FF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3BA0491-5429-453B-AF9A-AEA6711F7967}"/>
  </w:font>
  <w:font w:name="微软雅黑">
    <w:panose1 w:val="020B0503020204020204"/>
    <w:charset w:val="86"/>
    <w:family w:val="swiss"/>
    <w:pitch w:val="default"/>
    <w:sig w:usb0="80000287" w:usb1="2ACF3C50" w:usb2="00000016" w:usb3="00000000" w:csb0="0004001F" w:csb1="00000000"/>
    <w:embedRegular r:id="rId3" w:fontKey="{3B29BF47-35EE-4E65-AFBA-EB87DDCCABF9}"/>
  </w:font>
  <w:font w:name="方正仿宋_GBK">
    <w:panose1 w:val="03000509000000000000"/>
    <w:charset w:val="86"/>
    <w:family w:val="script"/>
    <w:pitch w:val="default"/>
    <w:sig w:usb0="00000001" w:usb1="080E0000" w:usb2="00000000" w:usb3="00000000" w:csb0="00040000" w:csb1="00000000"/>
    <w:embedRegular r:id="rId4" w:fontKey="{A41FE443-88FA-4940-A450-48B98814E19B}"/>
  </w:font>
  <w:font w:name="___WRD_EMBED_SUB_55">
    <w:altName w:val="微软雅黑"/>
    <w:panose1 w:val="00000000000000000000"/>
    <w:charset w:val="86"/>
    <w:family w:val="script"/>
    <w:pitch w:val="default"/>
    <w:sig w:usb0="00000000" w:usb1="00000000" w:usb2="00000000" w:usb3="00000000" w:csb0="00040000" w:csb1="00000000"/>
    <w:embedRegular r:id="rId5" w:fontKey="{1BB441A8-302F-43A3-8621-08DF5C280992}"/>
  </w:font>
  <w:font w:name="___WRD_EMBED_SUB_54">
    <w:altName w:val="微软雅黑"/>
    <w:panose1 w:val="00000000000000000000"/>
    <w:charset w:val="86"/>
    <w:family w:val="auto"/>
    <w:pitch w:val="default"/>
    <w:sig w:usb0="00000000" w:usb1="00000000" w:usb2="00000000" w:usb3="00000000" w:csb0="00040000" w:csb1="00000000"/>
    <w:embedRegular r:id="rId6" w:fontKey="{8098D24C-B1A2-49EA-9F3F-EAD5DE6D96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FD6B">
    <w:pPr>
      <w:pStyle w:val="12"/>
      <w:jc w:val="center"/>
    </w:pPr>
  </w:p>
  <w:p w14:paraId="306B9A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5A4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99"/>
                            <w:docPartObj>
                              <w:docPartGallery w:val="autotext"/>
                            </w:docPartObj>
                          </w:sdtPr>
                          <w:sdtContent>
                            <w:p w14:paraId="61806238">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4DD7EA5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4899"/>
                      <w:docPartObj>
                        <w:docPartGallery w:val="autotext"/>
                      </w:docPartObj>
                    </w:sdtPr>
                    <w:sdtContent>
                      <w:p w14:paraId="61806238">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4DD7EA54">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31AA">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E9509">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D5E9509">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57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720"/>
                            <w:docPartObj>
                              <w:docPartGallery w:val="autotext"/>
                            </w:docPartObj>
                          </w:sdtPr>
                          <w:sdtContent>
                            <w:p w14:paraId="76B515E2">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0078028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61720"/>
                      <w:docPartObj>
                        <w:docPartGallery w:val="autotext"/>
                      </w:docPartObj>
                    </w:sdtPr>
                    <w:sdtContent>
                      <w:p w14:paraId="76B515E2">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00780284">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DB5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5"/>
                            <w:docPartObj>
                              <w:docPartGallery w:val="autotext"/>
                            </w:docPartObj>
                          </w:sdtPr>
                          <w:sdtContent>
                            <w:p w14:paraId="4A50C38A">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527512CA">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57455"/>
                      <w:docPartObj>
                        <w:docPartGallery w:val="autotext"/>
                      </w:docPartObj>
                    </w:sdtPr>
                    <w:sdtContent>
                      <w:p w14:paraId="4A50C38A">
                        <w:pPr>
                          <w:pStyle w:val="12"/>
                          <w:jc w:val="center"/>
                        </w:pPr>
                        <w:r>
                          <w:fldChar w:fldCharType="begin"/>
                        </w:r>
                        <w:r>
                          <w:instrText xml:space="preserve">PAGE   \* MERGEFORMAT</w:instrText>
                        </w:r>
                        <w:r>
                          <w:fldChar w:fldCharType="separate"/>
                        </w:r>
                        <w:r>
                          <w:rPr>
                            <w:lang w:val="zh-CN" w:eastAsia="zh-CN"/>
                          </w:rPr>
                          <w:t>2</w:t>
                        </w:r>
                        <w:r>
                          <w:fldChar w:fldCharType="end"/>
                        </w:r>
                      </w:p>
                    </w:sdtContent>
                  </w:sdt>
                  <w:p w14:paraId="527512CA">
                    <w:pPr>
                      <w:pStyle w:val="2"/>
                    </w:pPr>
                  </w:p>
                </w:txbxContent>
              </v:textbox>
            </v:shape>
          </w:pict>
        </mc:Fallback>
      </mc:AlternateContent>
    </w:r>
  </w:p>
  <w:p w14:paraId="696E1431">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3C67">
    <w:pPr>
      <w:pStyle w:val="13"/>
      <w:pBdr>
        <w:bottom w:val="single" w:color="auto" w:sz="4" w:space="1"/>
      </w:pBdr>
      <w:rPr>
        <w:rFonts w:ascii="方正仿宋_GBK" w:eastAsia="方正仿宋_GBK"/>
        <w:sz w:val="21"/>
        <w:szCs w:val="24"/>
        <w:lang w:eastAsia="zh-CN"/>
      </w:rPr>
    </w:pPr>
    <w:r>
      <w:rPr>
        <w:rFonts w:hint="eastAsia" w:ascii="方正仿宋_GBK" w:eastAsia="方正仿宋_GBK"/>
        <w:sz w:val="21"/>
        <w:szCs w:val="24"/>
        <w:lang w:eastAsia="zh-CN"/>
      </w:rPr>
      <w:t>重庆理工职业学院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8C06">
    <w:pPr>
      <w:pStyle w:val="13"/>
      <w:pBdr>
        <w:bottom w:val="single" w:color="auto" w:sz="4" w:space="1"/>
      </w:pBdr>
      <w:rPr>
        <w:lang w:eastAsia="zh-CN"/>
      </w:rPr>
    </w:pPr>
    <w:r>
      <w:rPr>
        <w:rFonts w:hint="eastAsia" w:ascii="方正仿宋_GBK" w:eastAsia="方正仿宋_GBK"/>
        <w:sz w:val="21"/>
        <w:szCs w:val="24"/>
        <w:lang w:eastAsia="zh-CN"/>
      </w:rPr>
      <w:t>重庆理工职业学院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6EEA"/>
    <w:multiLevelType w:val="singleLevel"/>
    <w:tmpl w:val="87AE6EEA"/>
    <w:lvl w:ilvl="0" w:tentative="0">
      <w:start w:val="4"/>
      <w:numFmt w:val="decimal"/>
      <w:suff w:val="space"/>
      <w:lvlText w:val="%1."/>
      <w:lvlJc w:val="left"/>
    </w:lvl>
  </w:abstractNum>
  <w:abstractNum w:abstractNumId="1">
    <w:nsid w:val="CD6ED802"/>
    <w:multiLevelType w:val="singleLevel"/>
    <w:tmpl w:val="CD6ED802"/>
    <w:lvl w:ilvl="0" w:tentative="0">
      <w:start w:val="1"/>
      <w:numFmt w:val="decimal"/>
      <w:lvlText w:val="%1."/>
      <w:lvlJc w:val="left"/>
      <w:pPr>
        <w:tabs>
          <w:tab w:val="left" w:pos="312"/>
        </w:tabs>
      </w:pPr>
    </w:lvl>
  </w:abstractNum>
  <w:abstractNum w:abstractNumId="2">
    <w:nsid w:val="060A3DFB"/>
    <w:multiLevelType w:val="singleLevel"/>
    <w:tmpl w:val="060A3DF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F6BB3"/>
    <w:rsid w:val="000F6BB3"/>
    <w:rsid w:val="00186C1A"/>
    <w:rsid w:val="001F1A57"/>
    <w:rsid w:val="002F4522"/>
    <w:rsid w:val="004D5572"/>
    <w:rsid w:val="005B3FA4"/>
    <w:rsid w:val="007B51FF"/>
    <w:rsid w:val="008B7159"/>
    <w:rsid w:val="008E180E"/>
    <w:rsid w:val="008E43E8"/>
    <w:rsid w:val="00C201D8"/>
    <w:rsid w:val="00CD1F0D"/>
    <w:rsid w:val="00D2306C"/>
    <w:rsid w:val="00D86AF1"/>
    <w:rsid w:val="02582765"/>
    <w:rsid w:val="032E2649"/>
    <w:rsid w:val="08112215"/>
    <w:rsid w:val="08940657"/>
    <w:rsid w:val="0A1C108A"/>
    <w:rsid w:val="0A580F87"/>
    <w:rsid w:val="0AF142C5"/>
    <w:rsid w:val="0AF84A79"/>
    <w:rsid w:val="0DEA58C6"/>
    <w:rsid w:val="0F696D55"/>
    <w:rsid w:val="105D4F49"/>
    <w:rsid w:val="11CE710E"/>
    <w:rsid w:val="12837C92"/>
    <w:rsid w:val="18E436BB"/>
    <w:rsid w:val="1A5E5632"/>
    <w:rsid w:val="1A874408"/>
    <w:rsid w:val="1A945866"/>
    <w:rsid w:val="1B0912C3"/>
    <w:rsid w:val="1D3E36DE"/>
    <w:rsid w:val="1D894338"/>
    <w:rsid w:val="1DFF488E"/>
    <w:rsid w:val="1E0353CB"/>
    <w:rsid w:val="1E606C3A"/>
    <w:rsid w:val="1F325004"/>
    <w:rsid w:val="21817226"/>
    <w:rsid w:val="218B3B8B"/>
    <w:rsid w:val="22295698"/>
    <w:rsid w:val="229D236F"/>
    <w:rsid w:val="244E5219"/>
    <w:rsid w:val="249D4726"/>
    <w:rsid w:val="24E13E0B"/>
    <w:rsid w:val="276871E1"/>
    <w:rsid w:val="285A639B"/>
    <w:rsid w:val="28F66E46"/>
    <w:rsid w:val="29AF6870"/>
    <w:rsid w:val="2B54022C"/>
    <w:rsid w:val="2B9D6077"/>
    <w:rsid w:val="2EA56A99"/>
    <w:rsid w:val="309061AB"/>
    <w:rsid w:val="35891EC6"/>
    <w:rsid w:val="382B6E0B"/>
    <w:rsid w:val="3A2B29E4"/>
    <w:rsid w:val="3D3A69B3"/>
    <w:rsid w:val="3D4E508D"/>
    <w:rsid w:val="3F7722E4"/>
    <w:rsid w:val="3FD31C10"/>
    <w:rsid w:val="42121365"/>
    <w:rsid w:val="422E0E25"/>
    <w:rsid w:val="456835B7"/>
    <w:rsid w:val="45865AFC"/>
    <w:rsid w:val="48233009"/>
    <w:rsid w:val="483D5D04"/>
    <w:rsid w:val="4AC156B1"/>
    <w:rsid w:val="4C15710C"/>
    <w:rsid w:val="4EFF0435"/>
    <w:rsid w:val="4F710AFD"/>
    <w:rsid w:val="4FCE7CFE"/>
    <w:rsid w:val="50593A6B"/>
    <w:rsid w:val="50F72364"/>
    <w:rsid w:val="53BD0B47"/>
    <w:rsid w:val="53C85B77"/>
    <w:rsid w:val="55AA0117"/>
    <w:rsid w:val="55B777CE"/>
    <w:rsid w:val="59E94C63"/>
    <w:rsid w:val="5A841239"/>
    <w:rsid w:val="5CD5501B"/>
    <w:rsid w:val="5EE50BC0"/>
    <w:rsid w:val="60804D3F"/>
    <w:rsid w:val="60BA0DAE"/>
    <w:rsid w:val="630B71C5"/>
    <w:rsid w:val="63215441"/>
    <w:rsid w:val="63247F09"/>
    <w:rsid w:val="63E40C13"/>
    <w:rsid w:val="64C43DDF"/>
    <w:rsid w:val="668139A4"/>
    <w:rsid w:val="673C75C7"/>
    <w:rsid w:val="6C4813E6"/>
    <w:rsid w:val="6C755C79"/>
    <w:rsid w:val="6C78769F"/>
    <w:rsid w:val="6E2D399D"/>
    <w:rsid w:val="71336FC4"/>
    <w:rsid w:val="747C2500"/>
    <w:rsid w:val="75F63CAB"/>
    <w:rsid w:val="76520976"/>
    <w:rsid w:val="770F372A"/>
    <w:rsid w:val="771022B3"/>
    <w:rsid w:val="791E0FED"/>
    <w:rsid w:val="7D4B6A70"/>
    <w:rsid w:val="7E0A3E36"/>
    <w:rsid w:val="7FAB6756"/>
    <w:rsid w:val="7FCF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eastAsia="黑体"/>
      <w:b/>
      <w:sz w:val="32"/>
    </w:rPr>
  </w:style>
  <w:style w:type="paragraph" w:styleId="5">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7">
    <w:name w:val="Normal Indent"/>
    <w:basedOn w:val="1"/>
    <w:qFormat/>
    <w:uiPriority w:val="0"/>
    <w:pPr>
      <w:spacing w:line="360" w:lineRule="auto"/>
      <w:ind w:firstLine="420"/>
    </w:pPr>
    <w:rPr>
      <w:rFonts w:ascii="Times New Roman" w:hAnsi="Times New Roman" w:eastAsia="宋体" w:cs="Times New Roman"/>
      <w:sz w:val="24"/>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rPr>
  </w:style>
  <w:style w:type="paragraph" w:styleId="10">
    <w:name w:val="Date"/>
    <w:basedOn w:val="1"/>
    <w:next w:val="1"/>
    <w:qFormat/>
    <w:uiPriority w:val="0"/>
  </w:style>
  <w:style w:type="paragraph" w:styleId="11">
    <w:name w:val="Body Text Indent 2"/>
    <w:basedOn w:val="1"/>
    <w:qFormat/>
    <w:uiPriority w:val="0"/>
    <w:pPr>
      <w:spacing w:line="560" w:lineRule="atLeast"/>
      <w:ind w:firstLine="540"/>
    </w:pPr>
  </w:style>
  <w:style w:type="paragraph" w:styleId="12">
    <w:name w:val="footer"/>
    <w:basedOn w:val="1"/>
    <w:link w:val="31"/>
    <w:qFormat/>
    <w:uiPriority w:val="99"/>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autoRedefine/>
    <w:qFormat/>
    <w:uiPriority w:val="0"/>
    <w:pPr>
      <w:ind w:left="420" w:leftChars="200"/>
    </w:pPr>
  </w:style>
  <w:style w:type="paragraph" w:styleId="16">
    <w:name w:val="Normal (Web)"/>
    <w:basedOn w:val="1"/>
    <w:qFormat/>
    <w:uiPriority w:val="0"/>
    <w:rPr>
      <w:sz w:val="24"/>
      <w:szCs w:val="20"/>
    </w:rPr>
  </w:style>
  <w:style w:type="paragraph" w:styleId="17">
    <w:name w:val="Body Text First Indent"/>
    <w:basedOn w:val="2"/>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rPr>
  </w:style>
  <w:style w:type="paragraph" w:customStyle="1" w:styleId="25">
    <w:name w:val="WPSOffice手动目录 1"/>
    <w:qFormat/>
    <w:uiPriority w:val="0"/>
    <w:rPr>
      <w:rFonts w:ascii="Arial" w:hAnsi="Arial" w:eastAsia="Arial" w:cs="Arial"/>
      <w:lang w:val="en-US" w:eastAsia="zh-CN" w:bidi="ar-SA"/>
    </w:rPr>
  </w:style>
  <w:style w:type="paragraph" w:customStyle="1" w:styleId="26">
    <w:name w:val="WPSOffice手动目录 2"/>
    <w:qFormat/>
    <w:uiPriority w:val="0"/>
    <w:pPr>
      <w:ind w:left="200" w:leftChars="200"/>
    </w:pPr>
    <w:rPr>
      <w:rFonts w:ascii="Arial" w:hAnsi="Arial" w:eastAsia="Arial" w:cs="Arial"/>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1"/>
    <w:basedOn w:val="1"/>
    <w:next w:val="9"/>
    <w:qFormat/>
    <w:uiPriority w:val="0"/>
    <w:rPr>
      <w:rFonts w:ascii="宋体" w:hAnsi="Courier New"/>
    </w:rPr>
  </w:style>
  <w:style w:type="paragraph" w:customStyle="1" w:styleId="29">
    <w:name w:val="Blockquote"/>
    <w:basedOn w:val="1"/>
    <w:qFormat/>
    <w:uiPriority w:val="0"/>
    <w:pPr>
      <w:spacing w:before="100" w:after="100"/>
      <w:ind w:left="360" w:right="360"/>
    </w:pPr>
    <w:rPr>
      <w:sz w:val="24"/>
    </w:rPr>
  </w:style>
  <w:style w:type="character" w:customStyle="1" w:styleId="30">
    <w:name w:val="NormalCharacter"/>
    <w:semiHidden/>
    <w:qFormat/>
    <w:uiPriority w:val="0"/>
  </w:style>
  <w:style w:type="character" w:customStyle="1" w:styleId="31">
    <w:name w:val="页脚 字符"/>
    <w:basedOn w:val="20"/>
    <w:link w:val="12"/>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15197</Words>
  <Characters>16008</Characters>
  <Lines>217</Lines>
  <Paragraphs>61</Paragraphs>
  <TotalTime>13</TotalTime>
  <ScaleCrop>false</ScaleCrop>
  <LinksUpToDate>false</LinksUpToDate>
  <CharactersWithSpaces>16484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2025-03-23T20:20:00Z</dcterms:created>
  <dc:creator>lz</dc:creator>
  <cp:lastModifiedBy>瓷娃娃</cp:lastModifiedBy>
  <cp:lastPrinted>2025-10-20T04:54:00Z</cp:lastPrinted>
  <dcterms:modified xsi:type="dcterms:W3CDTF">2026-01-06T01:32:38Z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eyJoZGlkIjoiMTQ1MjViMTYxN2JhZGMzZmJmZDM2YTAyZDMzMjFmZjQiLCJ1c2VySWQiOiIzODY3NTk5NjgifQ==</vt:lpwstr>
  </property>
  <property fmtid="{D5CDD505-2E9C-101B-9397-08002B2CF9AE}" pid="5" name="KSOProductBuildVer">
    <vt:lpwstr>2052-12.1.0.24034</vt:lpwstr>
  </property>
  <property fmtid="{D5CDD505-2E9C-101B-9397-08002B2CF9AE}" pid="6" name="ICV">
    <vt:lpwstr>D4642D45FC484931878B33B37C909B2B_13</vt:lpwstr>
  </property>
</Properties>
</file>