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EC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12333D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4E5414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r>
        <w:rPr>
          <w:rFonts w:hint="eastAsia" w:ascii="黑体" w:hAnsi="黑体" w:eastAsia="黑体" w:cs="黑体"/>
          <w:b/>
          <w:bCs/>
          <w:i w:val="0"/>
          <w:iCs w:val="0"/>
          <w:color w:val="auto"/>
          <w:kern w:val="0"/>
          <w:sz w:val="96"/>
          <w:szCs w:val="96"/>
          <w:shd w:val="clear" w:color="auto" w:fill="auto"/>
        </w:rPr>
        <w:t>询价通知书</w:t>
      </w:r>
    </w:p>
    <w:p w14:paraId="17D716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8"/>
          <w:szCs w:val="28"/>
          <w:shd w:val="clear" w:color="auto" w:fill="auto"/>
        </w:rPr>
      </w:pPr>
      <w:r>
        <w:rPr>
          <w:rFonts w:hint="eastAsia" w:ascii="仿宋" w:hAnsi="仿宋" w:eastAsia="仿宋" w:cs="仿宋"/>
          <w:b w:val="0"/>
          <w:bCs w:val="0"/>
          <w:i w:val="0"/>
          <w:iCs w:val="0"/>
          <w:color w:val="auto"/>
          <w:kern w:val="0"/>
          <w:sz w:val="28"/>
          <w:szCs w:val="28"/>
          <w:shd w:val="clear" w:color="auto" w:fill="auto"/>
        </w:rPr>
        <w:t>（编号：CQIP-2025071101）</w:t>
      </w:r>
    </w:p>
    <w:p w14:paraId="11D900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4F5861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2D9B1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ED58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8D2FA7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6C13C3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1EE7F8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57CE6E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C671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eastAsia" w:ascii="微软雅黑" w:hAnsi="微软雅黑" w:eastAsia="微软雅黑" w:cs="微软雅黑"/>
          <w:b/>
          <w:bCs/>
          <w:i w:val="0"/>
          <w:iCs w:val="0"/>
          <w:color w:val="auto"/>
          <w:kern w:val="0"/>
          <w:sz w:val="36"/>
          <w:szCs w:val="36"/>
          <w:shd w:val="clear" w:color="auto" w:fill="auto"/>
          <w:lang w:val="en-US" w:eastAsia="zh-CN"/>
        </w:rPr>
      </w:pPr>
      <w:r>
        <w:rPr>
          <w:rFonts w:hint="eastAsia" w:ascii="微软雅黑" w:hAnsi="微软雅黑" w:eastAsia="微软雅黑" w:cs="微软雅黑"/>
          <w:b/>
          <w:bCs/>
          <w:i w:val="0"/>
          <w:iCs w:val="0"/>
          <w:color w:val="auto"/>
          <w:kern w:val="0"/>
          <w:sz w:val="36"/>
          <w:szCs w:val="36"/>
          <w:shd w:val="clear" w:color="auto" w:fill="auto"/>
          <w:lang w:val="en-US" w:eastAsia="zh-CN"/>
        </w:rPr>
        <w:t xml:space="preserve">    </w:t>
      </w:r>
      <w:r>
        <w:rPr>
          <w:rFonts w:hint="eastAsia" w:ascii="微软雅黑" w:hAnsi="微软雅黑" w:eastAsia="微软雅黑" w:cs="微软雅黑"/>
          <w:b/>
          <w:bCs/>
          <w:i w:val="0"/>
          <w:iCs w:val="0"/>
          <w:color w:val="auto"/>
          <w:kern w:val="0"/>
          <w:sz w:val="36"/>
          <w:szCs w:val="36"/>
          <w:shd w:val="clear" w:color="auto" w:fill="auto"/>
        </w:rPr>
        <w:t>项目名称：</w:t>
      </w:r>
      <w:r>
        <w:rPr>
          <w:rFonts w:hint="eastAsia" w:ascii="微软雅黑" w:hAnsi="微软雅黑" w:eastAsia="微软雅黑" w:cs="微软雅黑"/>
          <w:b w:val="0"/>
          <w:bCs w:val="0"/>
          <w:i w:val="0"/>
          <w:iCs w:val="0"/>
          <w:color w:val="auto"/>
          <w:kern w:val="0"/>
          <w:sz w:val="36"/>
          <w:szCs w:val="36"/>
          <w:shd w:val="clear" w:color="auto" w:fill="auto"/>
          <w:lang w:eastAsia="zh-CN"/>
        </w:rPr>
        <w:t>篮球场照明灯安装工程</w:t>
      </w:r>
    </w:p>
    <w:p w14:paraId="3AB25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both"/>
        <w:textAlignment w:val="baseline"/>
        <w:outlineLvl w:val="9"/>
        <w:rPr>
          <w:rFonts w:hint="eastAsia" w:ascii="微软雅黑" w:hAnsi="微软雅黑" w:eastAsia="微软雅黑" w:cs="微软雅黑"/>
          <w:b w:val="0"/>
          <w:bCs w:val="0"/>
          <w:i w:val="0"/>
          <w:iCs w:val="0"/>
          <w:color w:val="auto"/>
          <w:kern w:val="0"/>
          <w:sz w:val="36"/>
          <w:szCs w:val="36"/>
          <w:shd w:val="clear" w:color="auto" w:fill="auto"/>
        </w:rPr>
      </w:pPr>
      <w:r>
        <w:rPr>
          <w:rFonts w:hint="eastAsia" w:ascii="微软雅黑" w:hAnsi="微软雅黑" w:eastAsia="微软雅黑" w:cs="微软雅黑"/>
          <w:b/>
          <w:bCs/>
          <w:i w:val="0"/>
          <w:iCs w:val="0"/>
          <w:color w:val="auto"/>
          <w:kern w:val="0"/>
          <w:sz w:val="36"/>
          <w:szCs w:val="36"/>
          <w:shd w:val="clear" w:color="auto" w:fill="auto"/>
        </w:rPr>
        <w:t>采 购 人：</w:t>
      </w:r>
      <w:r>
        <w:rPr>
          <w:rFonts w:hint="eastAsia" w:ascii="微软雅黑" w:hAnsi="微软雅黑" w:eastAsia="微软雅黑" w:cs="微软雅黑"/>
          <w:b w:val="0"/>
          <w:bCs w:val="0"/>
          <w:i w:val="0"/>
          <w:iCs w:val="0"/>
          <w:color w:val="auto"/>
          <w:kern w:val="0"/>
          <w:sz w:val="36"/>
          <w:szCs w:val="36"/>
          <w:shd w:val="clear" w:color="auto" w:fill="auto"/>
        </w:rPr>
        <w:t>重庆理工职业学院</w:t>
      </w:r>
    </w:p>
    <w:p w14:paraId="06B61F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center"/>
        <w:textAlignment w:val="baseline"/>
        <w:outlineLvl w:val="9"/>
        <w:rPr>
          <w:rFonts w:hint="eastAsia" w:ascii="微软雅黑" w:hAnsi="微软雅黑" w:eastAsia="微软雅黑" w:cs="微软雅黑"/>
          <w:b/>
          <w:bCs/>
          <w:i w:val="0"/>
          <w:iCs w:val="0"/>
          <w:color w:val="auto"/>
          <w:kern w:val="0"/>
          <w:sz w:val="48"/>
          <w:szCs w:val="48"/>
          <w:shd w:val="clear" w:color="auto" w:fill="auto"/>
        </w:rPr>
      </w:pPr>
    </w:p>
    <w:p w14:paraId="4DE7F4D6">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sectPr>
          <w:pgSz w:w="11906" w:h="16838"/>
          <w:pgMar w:top="1440" w:right="1134" w:bottom="1440" w:left="1134" w:header="851" w:footer="992" w:gutter="0"/>
          <w:cols w:space="0" w:num="1"/>
          <w:rtlGutter w:val="0"/>
          <w:docGrid w:type="lines" w:linePitch="312" w:charSpace="0"/>
        </w:sectPr>
      </w:pPr>
      <w:r>
        <w:rPr>
          <w:rFonts w:hint="eastAsia" w:ascii="微软雅黑" w:hAnsi="微软雅黑" w:eastAsia="微软雅黑" w:cs="微软雅黑"/>
          <w:b w:val="0"/>
          <w:bCs w:val="0"/>
          <w:i w:val="0"/>
          <w:iCs w:val="0"/>
          <w:color w:val="auto"/>
          <w:kern w:val="0"/>
          <w:sz w:val="36"/>
          <w:szCs w:val="36"/>
          <w:shd w:val="clear" w:color="auto" w:fill="auto"/>
        </w:rPr>
        <w:t>二〇二五年</w:t>
      </w:r>
      <w:r>
        <w:rPr>
          <w:rFonts w:hint="eastAsia" w:ascii="微软雅黑" w:hAnsi="微软雅黑" w:eastAsia="微软雅黑" w:cs="微软雅黑"/>
          <w:b w:val="0"/>
          <w:bCs w:val="0"/>
          <w:i w:val="0"/>
          <w:iCs w:val="0"/>
          <w:color w:val="auto"/>
          <w:kern w:val="0"/>
          <w:sz w:val="36"/>
          <w:szCs w:val="36"/>
          <w:shd w:val="clear" w:color="auto" w:fill="auto"/>
          <w:lang w:val="en-US" w:eastAsia="zh-CN"/>
        </w:rPr>
        <w:t>八</w:t>
      </w:r>
      <w:r>
        <w:rPr>
          <w:rFonts w:hint="eastAsia" w:ascii="微软雅黑" w:hAnsi="微软雅黑" w:eastAsia="微软雅黑" w:cs="微软雅黑"/>
          <w:b w:val="0"/>
          <w:bCs w:val="0"/>
          <w:i w:val="0"/>
          <w:iCs w:val="0"/>
          <w:color w:val="auto"/>
          <w:kern w:val="0"/>
          <w:sz w:val="36"/>
          <w:szCs w:val="36"/>
          <w:shd w:val="clear" w:color="auto" w:fill="auto"/>
        </w:rPr>
        <w:t>月</w:t>
      </w:r>
    </w:p>
    <w:p w14:paraId="738AB5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b/>
          <w:bCs/>
          <w:sz w:val="24"/>
          <w:szCs w:val="24"/>
        </w:rPr>
      </w:pPr>
      <w:r>
        <w:rPr>
          <w:rFonts w:hint="eastAsia"/>
          <w:b/>
          <w:bCs/>
          <w:sz w:val="24"/>
          <w:szCs w:val="24"/>
        </w:rPr>
        <w:t>一</w:t>
      </w:r>
      <w:r>
        <w:rPr>
          <w:rFonts w:hint="eastAsia" w:eastAsia="宋体"/>
          <w:b/>
          <w:bCs/>
          <w:sz w:val="24"/>
          <w:szCs w:val="24"/>
          <w:lang w:eastAsia="zh-CN"/>
        </w:rPr>
        <w:t>、</w:t>
      </w:r>
      <w:r>
        <w:rPr>
          <w:rFonts w:hint="eastAsia"/>
          <w:b/>
          <w:bCs/>
          <w:sz w:val="24"/>
          <w:szCs w:val="24"/>
        </w:rPr>
        <w:t xml:space="preserve"> 工程概况</w:t>
      </w:r>
    </w:p>
    <w:p w14:paraId="485675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sz w:val="24"/>
          <w:szCs w:val="24"/>
        </w:rPr>
      </w:pPr>
      <w:r>
        <w:rPr>
          <w:rFonts w:hint="eastAsia"/>
          <w:sz w:val="24"/>
          <w:szCs w:val="24"/>
        </w:rPr>
        <w:t>1.1、工程名称：重庆理工职业学院篮球场照明灯安装工程</w:t>
      </w:r>
    </w:p>
    <w:p w14:paraId="2DC753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sz w:val="24"/>
          <w:szCs w:val="24"/>
        </w:rPr>
      </w:pPr>
      <w:r>
        <w:rPr>
          <w:rFonts w:hint="eastAsia"/>
          <w:sz w:val="24"/>
          <w:szCs w:val="24"/>
        </w:rPr>
        <w:t>1.2、工程地点：重庆市巴南区东城大道588号</w:t>
      </w:r>
    </w:p>
    <w:p w14:paraId="129A47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sz w:val="24"/>
          <w:szCs w:val="24"/>
        </w:rPr>
      </w:pPr>
      <w:r>
        <w:rPr>
          <w:rFonts w:hint="eastAsia"/>
          <w:sz w:val="24"/>
          <w:szCs w:val="24"/>
        </w:rPr>
        <w:t>1.3、工程施工承包范围：校园内青教公寓外篮球场增加3盏照明灯，制作照明灯基础及检修井。埋设2孔PVC（口径25）红泥管约200米，施放BV-4mm²电线300米，增加室内专用照明配电箱1个。</w:t>
      </w:r>
    </w:p>
    <w:p w14:paraId="30BEAD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eastAsia="宋体"/>
          <w:b/>
          <w:bCs/>
          <w:sz w:val="24"/>
          <w:szCs w:val="24"/>
          <w:lang w:val="en-US" w:eastAsia="zh-CN"/>
        </w:rPr>
      </w:pPr>
      <w:r>
        <w:rPr>
          <w:rFonts w:hint="eastAsia"/>
          <w:b/>
          <w:bCs/>
          <w:sz w:val="24"/>
          <w:szCs w:val="24"/>
        </w:rPr>
        <w:t>二</w:t>
      </w:r>
      <w:r>
        <w:rPr>
          <w:rFonts w:hint="eastAsia" w:eastAsia="宋体"/>
          <w:b/>
          <w:bCs/>
          <w:sz w:val="24"/>
          <w:szCs w:val="24"/>
          <w:lang w:eastAsia="zh-CN"/>
        </w:rPr>
        <w:t>、</w:t>
      </w:r>
      <w:r>
        <w:rPr>
          <w:rFonts w:hint="eastAsia" w:eastAsia="宋体"/>
          <w:b/>
          <w:bCs/>
          <w:sz w:val="24"/>
          <w:szCs w:val="24"/>
          <w:lang w:val="en-US" w:eastAsia="zh-CN"/>
        </w:rPr>
        <w:t>资质要求</w:t>
      </w:r>
    </w:p>
    <w:p w14:paraId="196BBE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default" w:eastAsia="宋体"/>
          <w:b w:val="0"/>
          <w:bCs w:val="0"/>
          <w:sz w:val="24"/>
          <w:szCs w:val="24"/>
          <w:lang w:val="en-US" w:eastAsia="zh-CN"/>
        </w:rPr>
      </w:pPr>
      <w:r>
        <w:rPr>
          <w:rFonts w:hint="eastAsia" w:eastAsia="宋体"/>
          <w:b w:val="0"/>
          <w:bCs w:val="0"/>
          <w:sz w:val="24"/>
          <w:szCs w:val="24"/>
          <w:lang w:val="en-US" w:eastAsia="zh-CN"/>
        </w:rPr>
        <w:t>企业营业执照营业范围包含：工程建筑施工类。</w:t>
      </w:r>
    </w:p>
    <w:p w14:paraId="180E60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b/>
          <w:bCs/>
          <w:sz w:val="24"/>
          <w:szCs w:val="24"/>
        </w:rPr>
      </w:pPr>
      <w:r>
        <w:rPr>
          <w:rFonts w:hint="eastAsia" w:eastAsia="宋体"/>
          <w:b/>
          <w:bCs/>
          <w:sz w:val="24"/>
          <w:szCs w:val="24"/>
          <w:lang w:val="en-US" w:eastAsia="zh-CN"/>
        </w:rPr>
        <w:t>三、</w:t>
      </w:r>
      <w:r>
        <w:rPr>
          <w:rFonts w:hint="eastAsia"/>
          <w:b/>
          <w:bCs/>
          <w:sz w:val="24"/>
          <w:szCs w:val="24"/>
        </w:rPr>
        <w:t>工程承包方式及合同价款</w:t>
      </w:r>
    </w:p>
    <w:p w14:paraId="6B27AA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sz w:val="24"/>
          <w:szCs w:val="24"/>
        </w:rPr>
      </w:pPr>
      <w:r>
        <w:rPr>
          <w:rFonts w:hint="eastAsia"/>
          <w:sz w:val="24"/>
          <w:szCs w:val="24"/>
        </w:rPr>
        <w:t>工程承包方式：包工、包料、包质量、包工期、包安全文明施工(交钥匙工程)、包竣工资料。</w:t>
      </w:r>
    </w:p>
    <w:p w14:paraId="02EB07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b/>
          <w:bCs/>
          <w:sz w:val="24"/>
          <w:szCs w:val="24"/>
        </w:rPr>
      </w:pPr>
      <w:r>
        <w:rPr>
          <w:rFonts w:hint="eastAsia" w:eastAsia="宋体"/>
          <w:b/>
          <w:bCs/>
          <w:sz w:val="24"/>
          <w:szCs w:val="24"/>
          <w:lang w:val="en-US" w:eastAsia="zh-CN"/>
        </w:rPr>
        <w:t>四</w:t>
      </w:r>
      <w:r>
        <w:rPr>
          <w:rFonts w:hint="eastAsia"/>
          <w:b/>
          <w:bCs/>
          <w:sz w:val="24"/>
          <w:szCs w:val="24"/>
        </w:rPr>
        <w:t>、工程款支付</w:t>
      </w:r>
    </w:p>
    <w:p w14:paraId="33D367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sz w:val="24"/>
          <w:szCs w:val="24"/>
        </w:rPr>
      </w:pPr>
      <w:r>
        <w:rPr>
          <w:rFonts w:hint="eastAsia" w:eastAsia="宋体"/>
          <w:sz w:val="24"/>
          <w:szCs w:val="24"/>
          <w:lang w:val="en-US" w:eastAsia="zh-CN"/>
        </w:rPr>
        <w:t>4.1</w:t>
      </w:r>
      <w:r>
        <w:rPr>
          <w:rFonts w:hint="eastAsia"/>
          <w:sz w:val="24"/>
          <w:szCs w:val="24"/>
        </w:rPr>
        <w:t>、本工程无预付款。工程付款方式：工程竣工验收合格之后，乙方开具有效的增值税普票。甲方一次性支付结算总价的97％，3％质保金，质保期为两年（质保期从竣工验收合格之日起计算）。</w:t>
      </w:r>
    </w:p>
    <w:p w14:paraId="6B3F41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sz w:val="24"/>
          <w:szCs w:val="24"/>
        </w:rPr>
      </w:pPr>
      <w:r>
        <w:rPr>
          <w:rFonts w:hint="eastAsia" w:eastAsia="宋体"/>
          <w:sz w:val="24"/>
          <w:szCs w:val="24"/>
          <w:lang w:val="en-US" w:eastAsia="zh-CN"/>
        </w:rPr>
        <w:t>4</w:t>
      </w:r>
      <w:r>
        <w:rPr>
          <w:rFonts w:hint="eastAsia"/>
          <w:sz w:val="24"/>
          <w:szCs w:val="24"/>
        </w:rPr>
        <w:t>.2、质保期满且无任何质量问题，乙方向甲方提交质保金退还申请，甲方在收到申请之后15个工作日之内，质保金无息退还乙方。</w:t>
      </w:r>
    </w:p>
    <w:p w14:paraId="4A5593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b/>
          <w:bCs/>
          <w:sz w:val="24"/>
          <w:szCs w:val="24"/>
        </w:rPr>
      </w:pPr>
      <w:r>
        <w:rPr>
          <w:rFonts w:hint="eastAsia" w:eastAsia="宋体"/>
          <w:b/>
          <w:bCs/>
          <w:sz w:val="24"/>
          <w:szCs w:val="24"/>
          <w:lang w:val="en-US" w:eastAsia="zh-CN"/>
        </w:rPr>
        <w:t>五</w:t>
      </w:r>
      <w:r>
        <w:rPr>
          <w:rFonts w:hint="eastAsia" w:eastAsia="宋体"/>
          <w:b/>
          <w:bCs/>
          <w:sz w:val="24"/>
          <w:szCs w:val="24"/>
          <w:lang w:eastAsia="zh-CN"/>
        </w:rPr>
        <w:t>、</w:t>
      </w:r>
      <w:r>
        <w:rPr>
          <w:rFonts w:hint="eastAsia"/>
          <w:b/>
          <w:bCs/>
          <w:sz w:val="24"/>
          <w:szCs w:val="24"/>
        </w:rPr>
        <w:t xml:space="preserve"> 工期</w:t>
      </w:r>
    </w:p>
    <w:p w14:paraId="5F425F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sz w:val="24"/>
          <w:szCs w:val="24"/>
        </w:rPr>
      </w:pPr>
      <w:r>
        <w:rPr>
          <w:rFonts w:hint="eastAsia"/>
          <w:sz w:val="24"/>
          <w:szCs w:val="24"/>
        </w:rPr>
        <w:t>本工程工期从合同签订至完工工期为15天。</w:t>
      </w:r>
    </w:p>
    <w:p w14:paraId="20E93C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sz w:val="24"/>
          <w:szCs w:val="24"/>
        </w:rPr>
      </w:pPr>
      <w:r>
        <w:rPr>
          <w:rFonts w:hint="eastAsia" w:eastAsia="宋体" w:cs="Arial"/>
          <w:b/>
          <w:bCs/>
          <w:snapToGrid w:val="0"/>
          <w:color w:val="000000"/>
          <w:sz w:val="24"/>
          <w:szCs w:val="24"/>
          <w:lang w:val="en-US" w:eastAsia="zh-CN" w:bidi="ar-SA"/>
        </w:rPr>
        <w:t>六</w:t>
      </w:r>
      <w:r>
        <w:rPr>
          <w:rFonts w:hint="eastAsia" w:ascii="Arial" w:hAnsi="Arial" w:eastAsia="Arial" w:cs="Arial"/>
          <w:b/>
          <w:bCs/>
          <w:snapToGrid w:val="0"/>
          <w:color w:val="000000"/>
          <w:sz w:val="24"/>
          <w:szCs w:val="24"/>
          <w:lang w:val="en-US" w:eastAsia="en-US" w:bidi="ar-SA"/>
        </w:rPr>
        <w:t>、</w:t>
      </w:r>
      <w:r>
        <w:rPr>
          <w:rFonts w:hint="eastAsia" w:ascii="Arial" w:eastAsia="Arial"/>
          <w:sz w:val="24"/>
          <w:szCs w:val="24"/>
          <w:lang w:val="en-US" w:eastAsia="zh-CN"/>
        </w:rPr>
        <w:t>若需踏勘现场，请联系</w:t>
      </w:r>
      <w:r>
        <w:rPr>
          <w:rFonts w:hint="eastAsia"/>
          <w:sz w:val="24"/>
          <w:szCs w:val="24"/>
        </w:rPr>
        <w:t>甲方代表：张恩豪  电话：15086858271</w:t>
      </w:r>
    </w:p>
    <w:p w14:paraId="4C9903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left="0" w:leftChars="0" w:firstLine="0" w:firstLineChars="0"/>
        <w:textAlignment w:val="baseline"/>
        <w:rPr>
          <w:rFonts w:hint="eastAsia" w:eastAsia="宋体"/>
          <w:b w:val="0"/>
          <w:bCs w:val="0"/>
          <w:sz w:val="24"/>
          <w:szCs w:val="24"/>
          <w:lang w:eastAsia="zh-CN"/>
        </w:rPr>
      </w:pPr>
      <w:r>
        <w:rPr>
          <w:rFonts w:hint="eastAsia" w:eastAsia="宋体" w:cs="Arial"/>
          <w:b/>
          <w:bCs/>
          <w:snapToGrid w:val="0"/>
          <w:color w:val="000000"/>
          <w:sz w:val="24"/>
          <w:szCs w:val="24"/>
          <w:lang w:val="en-US" w:eastAsia="zh-CN" w:bidi="ar-SA"/>
        </w:rPr>
        <w:t>七</w:t>
      </w:r>
      <w:r>
        <w:rPr>
          <w:rFonts w:hint="eastAsia" w:ascii="Arial" w:hAnsi="Arial" w:eastAsia="Arial" w:cs="Arial"/>
          <w:b/>
          <w:bCs/>
          <w:snapToGrid w:val="0"/>
          <w:color w:val="000000"/>
          <w:sz w:val="24"/>
          <w:szCs w:val="24"/>
          <w:lang w:val="en-US" w:eastAsia="en-US" w:bidi="ar-SA"/>
        </w:rPr>
        <w:t>、</w:t>
      </w:r>
      <w:r>
        <w:rPr>
          <w:rFonts w:hint="eastAsia"/>
          <w:b w:val="0"/>
          <w:bCs w:val="0"/>
          <w:sz w:val="24"/>
          <w:szCs w:val="24"/>
        </w:rPr>
        <w:t>请有意向的潜在供应商在重庆理工职业学院官网校企合作一体化招标采购平台（http://www.cqip.com.cn/html/15/Index.shtml）“下载中心”下载询价单电子文件，并于2025年8月1</w:t>
      </w:r>
      <w:r>
        <w:rPr>
          <w:rFonts w:hint="eastAsia" w:eastAsia="宋体"/>
          <w:b w:val="0"/>
          <w:bCs w:val="0"/>
          <w:sz w:val="24"/>
          <w:szCs w:val="24"/>
          <w:lang w:val="en-US" w:eastAsia="zh-CN"/>
        </w:rPr>
        <w:t>8</w:t>
      </w:r>
      <w:r>
        <w:rPr>
          <w:rFonts w:hint="eastAsia"/>
          <w:b w:val="0"/>
          <w:bCs w:val="0"/>
          <w:sz w:val="24"/>
          <w:szCs w:val="24"/>
        </w:rPr>
        <w:t>日下午15:00前将①已盖章的报价表②营业执照密封并</w:t>
      </w:r>
      <w:r>
        <w:rPr>
          <w:rFonts w:hint="eastAsia" w:eastAsia="宋体"/>
          <w:b w:val="0"/>
          <w:bCs w:val="0"/>
          <w:sz w:val="24"/>
          <w:szCs w:val="24"/>
          <w:lang w:val="en-US" w:eastAsia="zh-CN"/>
        </w:rPr>
        <w:t>快递</w:t>
      </w:r>
      <w:r>
        <w:rPr>
          <w:rFonts w:hint="eastAsia"/>
          <w:b w:val="0"/>
          <w:bCs w:val="0"/>
          <w:sz w:val="24"/>
          <w:szCs w:val="24"/>
        </w:rPr>
        <w:t>至采购人处，密封文件封面注明：篮球场照明灯安装工程</w:t>
      </w:r>
      <w:r>
        <w:rPr>
          <w:rFonts w:hint="eastAsia" w:eastAsia="宋体"/>
          <w:b w:val="0"/>
          <w:bCs w:val="0"/>
          <w:sz w:val="24"/>
          <w:szCs w:val="24"/>
          <w:lang w:eastAsia="zh-CN"/>
        </w:rPr>
        <w:t>。</w:t>
      </w:r>
    </w:p>
    <w:p w14:paraId="0F28D3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left="0" w:leftChars="0" w:firstLine="0" w:firstLineChars="0"/>
        <w:textAlignment w:val="baseline"/>
        <w:rPr>
          <w:rFonts w:hint="eastAsia"/>
          <w:b w:val="0"/>
          <w:bCs w:val="0"/>
          <w:sz w:val="24"/>
          <w:szCs w:val="24"/>
        </w:rPr>
      </w:pPr>
      <w:r>
        <w:rPr>
          <w:rFonts w:hint="eastAsia" w:eastAsia="宋体"/>
          <w:b w:val="0"/>
          <w:bCs w:val="0"/>
          <w:sz w:val="24"/>
          <w:szCs w:val="24"/>
          <w:lang w:val="en-US" w:eastAsia="zh-CN"/>
        </w:rPr>
        <w:t>地址：</w:t>
      </w:r>
      <w:r>
        <w:rPr>
          <w:rFonts w:hint="eastAsia"/>
          <w:b w:val="0"/>
          <w:bCs w:val="0"/>
          <w:sz w:val="24"/>
          <w:szCs w:val="24"/>
        </w:rPr>
        <w:t>重庆市巴南区东城大道588号重庆理工职业学院</w:t>
      </w:r>
      <w:r>
        <w:rPr>
          <w:rFonts w:hint="eastAsia" w:eastAsia="宋体"/>
          <w:b w:val="0"/>
          <w:bCs w:val="0"/>
          <w:sz w:val="24"/>
          <w:szCs w:val="24"/>
          <w:lang w:val="en-US" w:eastAsia="zh-CN"/>
        </w:rPr>
        <w:t>行政楼527，</w:t>
      </w:r>
      <w:r>
        <w:rPr>
          <w:rFonts w:hint="eastAsia"/>
          <w:b w:val="0"/>
          <w:bCs w:val="0"/>
          <w:sz w:val="24"/>
          <w:szCs w:val="24"/>
        </w:rPr>
        <w:t>联系人:张老师，电话:16623604445。</w:t>
      </w:r>
    </w:p>
    <w:p w14:paraId="25731F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textAlignment w:val="baseline"/>
        <w:rPr>
          <w:rFonts w:hint="eastAsia"/>
          <w:sz w:val="24"/>
          <w:szCs w:val="24"/>
        </w:rPr>
      </w:pPr>
    </w:p>
    <w:p w14:paraId="14B164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jc w:val="right"/>
        <w:textAlignment w:val="baseline"/>
        <w:rPr>
          <w:rFonts w:hint="eastAsia"/>
          <w:sz w:val="24"/>
          <w:szCs w:val="24"/>
        </w:rPr>
      </w:pPr>
      <w:r>
        <w:rPr>
          <w:rFonts w:hint="eastAsia"/>
          <w:sz w:val="24"/>
          <w:szCs w:val="24"/>
        </w:rPr>
        <w:t>采购人：重庆理工职业学院</w:t>
      </w:r>
    </w:p>
    <w:p w14:paraId="709B8A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jc w:val="right"/>
        <w:textAlignment w:val="baseline"/>
        <w:rPr>
          <w:rFonts w:hint="eastAsia"/>
          <w:sz w:val="24"/>
          <w:szCs w:val="24"/>
        </w:rPr>
      </w:pPr>
      <w:r>
        <w:rPr>
          <w:rFonts w:hint="eastAsia"/>
          <w:sz w:val="24"/>
          <w:szCs w:val="24"/>
        </w:rPr>
        <w:t>2025年</w:t>
      </w:r>
      <w:r>
        <w:rPr>
          <w:rFonts w:hint="eastAsia" w:eastAsia="宋体"/>
          <w:sz w:val="24"/>
          <w:szCs w:val="24"/>
          <w:lang w:val="en-US" w:eastAsia="zh-CN"/>
        </w:rPr>
        <w:t>8</w:t>
      </w:r>
      <w:r>
        <w:rPr>
          <w:rFonts w:hint="eastAsia"/>
          <w:sz w:val="24"/>
          <w:szCs w:val="24"/>
        </w:rPr>
        <w:t>月</w:t>
      </w:r>
      <w:r>
        <w:rPr>
          <w:rFonts w:hint="eastAsia" w:eastAsia="宋体"/>
          <w:sz w:val="24"/>
          <w:szCs w:val="24"/>
          <w:lang w:val="en-US" w:eastAsia="zh-CN"/>
        </w:rPr>
        <w:t>12</w:t>
      </w:r>
      <w:r>
        <w:rPr>
          <w:rFonts w:hint="eastAsia"/>
          <w:sz w:val="24"/>
          <w:szCs w:val="24"/>
        </w:rPr>
        <w:t>日</w:t>
      </w:r>
    </w:p>
    <w:p w14:paraId="673513BC">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pPr>
    </w:p>
    <w:p w14:paraId="7DE688B4">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重庆理工职业学院</w:t>
      </w:r>
    </w:p>
    <w:p w14:paraId="1F7DD6B3">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val="en-US" w:eastAsia="zh-CN"/>
        </w:rPr>
      </w:pPr>
      <w:r>
        <w:rPr>
          <w:rFonts w:hint="eastAsia" w:ascii="宋体" w:hAnsi="宋体" w:eastAsia="宋体" w:cs="宋体"/>
          <w:b/>
          <w:bCs/>
          <w:spacing w:val="17"/>
          <w:sz w:val="32"/>
          <w:szCs w:val="32"/>
          <w:lang w:val="en-US" w:eastAsia="zh-CN"/>
        </w:rPr>
        <w:t>篮球场照明灯安装</w:t>
      </w:r>
      <w:r>
        <w:rPr>
          <w:rFonts w:hint="eastAsia" w:ascii="宋体" w:hAnsi="宋体" w:eastAsia="宋体" w:cs="宋体"/>
          <w:b/>
          <w:bCs/>
          <w:spacing w:val="17"/>
          <w:sz w:val="32"/>
          <w:szCs w:val="32"/>
          <w:lang w:eastAsia="zh-CN"/>
        </w:rPr>
        <w:t>工程</w:t>
      </w:r>
      <w:r>
        <w:rPr>
          <w:rFonts w:hint="eastAsia" w:ascii="宋体" w:hAnsi="宋体" w:eastAsia="宋体" w:cs="宋体"/>
          <w:b/>
          <w:bCs/>
          <w:spacing w:val="17"/>
          <w:sz w:val="32"/>
          <w:szCs w:val="32"/>
          <w:lang w:val="en-US" w:eastAsia="zh-CN"/>
        </w:rPr>
        <w:t>询价单</w:t>
      </w:r>
    </w:p>
    <w:tbl>
      <w:tblPr>
        <w:tblStyle w:val="2"/>
        <w:tblW w:w="141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953"/>
        <w:gridCol w:w="3931"/>
        <w:gridCol w:w="800"/>
        <w:gridCol w:w="688"/>
        <w:gridCol w:w="762"/>
        <w:gridCol w:w="788"/>
        <w:gridCol w:w="850"/>
        <w:gridCol w:w="800"/>
        <w:gridCol w:w="1187"/>
        <w:gridCol w:w="963"/>
        <w:gridCol w:w="1012"/>
        <w:gridCol w:w="875"/>
      </w:tblGrid>
      <w:tr w14:paraId="3DA7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26B2E94">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序号</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699490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393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3BB0EC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项目特征</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42380C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计量单位</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168469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暂估工程量</w:t>
            </w:r>
          </w:p>
        </w:tc>
        <w:tc>
          <w:tcPr>
            <w:tcW w:w="723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EA582C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1621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3E4321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0332C8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393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C4639E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CE0FBC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13A889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38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7F02FD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综合单价组成</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927E15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综合单价</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5753CE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合价</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64FAA6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备注</w:t>
            </w:r>
          </w:p>
        </w:tc>
      </w:tr>
      <w:tr w14:paraId="3996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196790D">
            <w:pPr>
              <w:jc w:val="center"/>
              <w:rPr>
                <w:rFonts w:hint="eastAsia" w:ascii="宋体" w:hAnsi="宋体" w:eastAsia="宋体" w:cs="宋体"/>
                <w:i w:val="0"/>
                <w:iCs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B8D3D36">
            <w:pPr>
              <w:jc w:val="center"/>
              <w:rPr>
                <w:rFonts w:hint="eastAsia" w:ascii="宋体" w:hAnsi="宋体" w:eastAsia="宋体" w:cs="宋体"/>
                <w:i w:val="0"/>
                <w:iCs w:val="0"/>
                <w:color w:val="000000"/>
                <w:sz w:val="22"/>
                <w:szCs w:val="22"/>
                <w:u w:val="none"/>
              </w:rPr>
            </w:pPr>
          </w:p>
        </w:tc>
        <w:tc>
          <w:tcPr>
            <w:tcW w:w="393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0FB17DA">
            <w:pPr>
              <w:jc w:val="center"/>
              <w:rPr>
                <w:rFonts w:hint="eastAsia" w:ascii="宋体" w:hAnsi="宋体" w:eastAsia="宋体" w:cs="宋体"/>
                <w:i w:val="0"/>
                <w:iCs w:val="0"/>
                <w:color w:val="000000"/>
                <w:sz w:val="22"/>
                <w:szCs w:val="22"/>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B6750A">
            <w:pPr>
              <w:jc w:val="center"/>
              <w:rPr>
                <w:rFonts w:hint="eastAsia" w:ascii="宋体" w:hAnsi="宋体" w:eastAsia="宋体" w:cs="宋体"/>
                <w:i w:val="0"/>
                <w:iCs w:val="0"/>
                <w:color w:val="000000"/>
                <w:sz w:val="22"/>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9B1E868">
            <w:pPr>
              <w:jc w:val="center"/>
              <w:rPr>
                <w:rFonts w:hint="eastAsia" w:ascii="宋体" w:hAnsi="宋体" w:eastAsia="宋体" w:cs="宋体"/>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40B4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人工</w:t>
            </w: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42C8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机具费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A200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主材费</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03CE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辅材费</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51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措施费、安全文明施工费、管理费、税金等其他费用</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07F07E7">
            <w:pPr>
              <w:jc w:val="center"/>
              <w:rPr>
                <w:rFonts w:hint="eastAsia" w:ascii="宋体" w:hAnsi="宋体" w:eastAsia="宋体" w:cs="宋体"/>
                <w:i w:val="0"/>
                <w:iCs w:val="0"/>
                <w:color w:val="000000"/>
                <w:sz w:val="22"/>
                <w:szCs w:val="22"/>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D9A9411">
            <w:pPr>
              <w:jc w:val="center"/>
              <w:rPr>
                <w:rFonts w:hint="eastAsia" w:ascii="宋体" w:hAnsi="宋体" w:eastAsia="宋体" w:cs="宋体"/>
                <w:i w:val="0"/>
                <w:iCs w:val="0"/>
                <w:color w:val="000000"/>
                <w:sz w:val="22"/>
                <w:szCs w:val="22"/>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DB4FE6D">
            <w:pPr>
              <w:jc w:val="center"/>
              <w:rPr>
                <w:rFonts w:hint="eastAsia" w:ascii="宋体" w:hAnsi="宋体" w:eastAsia="宋体" w:cs="宋体"/>
                <w:i w:val="0"/>
                <w:iCs w:val="0"/>
                <w:color w:val="000000"/>
                <w:sz w:val="22"/>
                <w:szCs w:val="22"/>
                <w:u w:val="none"/>
              </w:rPr>
            </w:pPr>
          </w:p>
        </w:tc>
      </w:tr>
      <w:tr w14:paraId="7666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579" w:type="dxa"/>
            <w:tcBorders>
              <w:top w:val="nil"/>
              <w:left w:val="single" w:color="000000" w:sz="4" w:space="0"/>
              <w:bottom w:val="single" w:color="000000" w:sz="4" w:space="0"/>
              <w:right w:val="nil"/>
            </w:tcBorders>
            <w:shd w:val="clear" w:color="FFFFFF" w:fill="FFFFFF"/>
            <w:vAlign w:val="center"/>
          </w:tcPr>
          <w:p w14:paraId="53924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球场灯</w:t>
            </w:r>
          </w:p>
        </w:tc>
        <w:tc>
          <w:tcPr>
            <w:tcW w:w="3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EF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1.名称：LED球场专用防眩目照明灯；</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2.功率：400瓦；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3.规格：6米杆，单杆单灯；</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4.根据灯杆尺寸制作设备基础，满足城市道路照明设计标准及相关规范；</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5.防水等级：IP67及以上。</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1.设备采购、吊装、安装；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2.C25混凝土设备基础制作；</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3.弃土处理；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4.安全文明施工措施（含不得夜间施工、校园道路清洁、交通疏导等）</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2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1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2B2A8">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79D0B">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E18AF">
            <w:pPr>
              <w:jc w:val="cente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CE323">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768F">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74CB">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998A">
            <w:pPr>
              <w:jc w:val="cente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8341E">
            <w:pPr>
              <w:jc w:val="center"/>
              <w:rPr>
                <w:rFonts w:hint="eastAsia" w:ascii="宋体" w:hAnsi="宋体" w:eastAsia="宋体" w:cs="宋体"/>
                <w:i w:val="0"/>
                <w:iCs w:val="0"/>
                <w:color w:val="000000"/>
                <w:sz w:val="22"/>
                <w:szCs w:val="22"/>
                <w:u w:val="none"/>
              </w:rPr>
            </w:pPr>
          </w:p>
        </w:tc>
      </w:tr>
      <w:tr w14:paraId="6622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579" w:type="dxa"/>
            <w:tcBorders>
              <w:top w:val="nil"/>
              <w:left w:val="single" w:color="000000" w:sz="4" w:space="0"/>
              <w:bottom w:val="single" w:color="000000" w:sz="4" w:space="0"/>
              <w:right w:val="nil"/>
            </w:tcBorders>
            <w:shd w:val="clear" w:color="FFFFFF" w:fill="FFFFFF"/>
            <w:vAlign w:val="center"/>
          </w:tcPr>
          <w:p w14:paraId="4F7E8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3C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管网</w:t>
            </w:r>
          </w:p>
        </w:tc>
        <w:tc>
          <w:tcPr>
            <w:tcW w:w="3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CE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1.宽*高：300*500mm；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2.直埋两根PVC管（Φ25mm）。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1.素土开挖宽*高：300mm*500mm至设计标高；</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2.开挖至标准高度后底层夯实，铺软土细沙后直埋两根PVC管（Φ25mm），素土回填后夯实；</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3.原状土恢复；</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4.成品保护、材料转运；</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5.安全文明施工措施（含不得夜间施工、校园道路清洁、交通疏导等）</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D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E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4796B">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4727F">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0BB93">
            <w:pPr>
              <w:jc w:val="cente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B9FDA">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3C1A">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16EE">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27A4">
            <w:pPr>
              <w:jc w:val="cente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6F97F">
            <w:pPr>
              <w:jc w:val="center"/>
              <w:rPr>
                <w:rFonts w:hint="eastAsia" w:ascii="宋体" w:hAnsi="宋体" w:eastAsia="宋体" w:cs="宋体"/>
                <w:i w:val="0"/>
                <w:iCs w:val="0"/>
                <w:color w:val="000000"/>
                <w:sz w:val="22"/>
                <w:szCs w:val="22"/>
                <w:u w:val="none"/>
              </w:rPr>
            </w:pPr>
          </w:p>
        </w:tc>
      </w:tr>
      <w:tr w14:paraId="0FF0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79" w:type="dxa"/>
            <w:tcBorders>
              <w:top w:val="nil"/>
              <w:left w:val="single" w:color="000000" w:sz="4" w:space="0"/>
              <w:bottom w:val="single" w:color="000000" w:sz="4" w:space="0"/>
              <w:right w:val="nil"/>
            </w:tcBorders>
            <w:shd w:val="clear" w:color="FFFFFF" w:fill="FFFFFF"/>
            <w:vAlign w:val="center"/>
          </w:tcPr>
          <w:p w14:paraId="0022E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953" w:type="dxa"/>
            <w:tcBorders>
              <w:top w:val="single" w:color="000000" w:sz="4" w:space="0"/>
              <w:left w:val="single" w:color="000000" w:sz="4" w:space="0"/>
              <w:bottom w:val="single" w:color="000000" w:sz="4" w:space="0"/>
              <w:right w:val="nil"/>
            </w:tcBorders>
            <w:shd w:val="clear" w:color="FFFFFF" w:fill="FFFFFF"/>
            <w:vAlign w:val="center"/>
          </w:tcPr>
          <w:p w14:paraId="7714B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室内配电箱</w:t>
            </w:r>
          </w:p>
        </w:tc>
        <w:tc>
          <w:tcPr>
            <w:tcW w:w="3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F6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1.规格：300*400*160mm；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2.品牌：德力西、正泰、公牛；</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3.带漏电保护、带时控开关。</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1.配电箱设计、材料采购、设备安装、成品保护；</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2.安全文明施工措施。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2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6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7B07B">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A1463">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08EDD">
            <w:pPr>
              <w:jc w:val="cente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4BEE8">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2DD9">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89B3">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116B">
            <w:pPr>
              <w:jc w:val="cente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71704">
            <w:pPr>
              <w:jc w:val="center"/>
              <w:rPr>
                <w:rFonts w:hint="eastAsia" w:ascii="宋体" w:hAnsi="宋体" w:eastAsia="宋体" w:cs="宋体"/>
                <w:i w:val="0"/>
                <w:iCs w:val="0"/>
                <w:color w:val="000000"/>
                <w:sz w:val="22"/>
                <w:szCs w:val="22"/>
                <w:u w:val="none"/>
              </w:rPr>
            </w:pPr>
          </w:p>
        </w:tc>
      </w:tr>
      <w:tr w14:paraId="4D39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79" w:type="dxa"/>
            <w:tcBorders>
              <w:top w:val="nil"/>
              <w:left w:val="single" w:color="000000" w:sz="4" w:space="0"/>
              <w:bottom w:val="single" w:color="000000" w:sz="4" w:space="0"/>
              <w:right w:val="nil"/>
            </w:tcBorders>
            <w:shd w:val="clear" w:color="FFFFFF" w:fill="FFFFFF"/>
            <w:vAlign w:val="center"/>
          </w:tcPr>
          <w:p w14:paraId="5DAE0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953" w:type="dxa"/>
            <w:tcBorders>
              <w:top w:val="single" w:color="000000" w:sz="4" w:space="0"/>
              <w:left w:val="single" w:color="000000" w:sz="4" w:space="0"/>
              <w:bottom w:val="single" w:color="000000" w:sz="4" w:space="0"/>
              <w:right w:val="nil"/>
            </w:tcBorders>
            <w:shd w:val="clear" w:color="FFFFFF" w:fill="FFFFFF"/>
            <w:vAlign w:val="center"/>
          </w:tcPr>
          <w:p w14:paraId="7D05C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电线</w:t>
            </w:r>
          </w:p>
        </w:tc>
        <w:tc>
          <w:tcPr>
            <w:tcW w:w="3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8D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1.规格：国标BV-4mm²；</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2.品牌：南方、鸽牌、渝丰。</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1.材料采购、敷设、终端头制作；</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2.安全文明施工措施。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F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688" w:type="dxa"/>
            <w:tcBorders>
              <w:top w:val="single" w:color="000000" w:sz="4" w:space="0"/>
              <w:left w:val="single" w:color="000000" w:sz="4" w:space="0"/>
              <w:bottom w:val="single" w:color="000000" w:sz="4" w:space="0"/>
              <w:right w:val="nil"/>
            </w:tcBorders>
            <w:shd w:val="clear" w:color="auto" w:fill="auto"/>
            <w:vAlign w:val="center"/>
          </w:tcPr>
          <w:p w14:paraId="180A0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300</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EE7BB">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10501">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71B1F">
            <w:pPr>
              <w:jc w:val="cente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9911B">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66D5">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3462">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775B">
            <w:pPr>
              <w:jc w:val="cente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8DF0D">
            <w:pPr>
              <w:jc w:val="center"/>
              <w:rPr>
                <w:rFonts w:hint="eastAsia" w:ascii="宋体" w:hAnsi="宋体" w:eastAsia="宋体" w:cs="宋体"/>
                <w:i w:val="0"/>
                <w:iCs w:val="0"/>
                <w:color w:val="000000"/>
                <w:sz w:val="22"/>
                <w:szCs w:val="22"/>
                <w:u w:val="none"/>
              </w:rPr>
            </w:pPr>
          </w:p>
        </w:tc>
      </w:tr>
      <w:tr w14:paraId="47E6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79" w:type="dxa"/>
            <w:tcBorders>
              <w:top w:val="nil"/>
              <w:left w:val="single" w:color="000000" w:sz="4" w:space="0"/>
              <w:bottom w:val="single" w:color="000000" w:sz="4" w:space="0"/>
              <w:right w:val="nil"/>
            </w:tcBorders>
            <w:shd w:val="clear" w:color="FFFFFF" w:fill="FFFFFF"/>
            <w:vAlign w:val="center"/>
          </w:tcPr>
          <w:p w14:paraId="0D4C8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953" w:type="dxa"/>
            <w:tcBorders>
              <w:top w:val="single" w:color="000000" w:sz="4" w:space="0"/>
              <w:left w:val="single" w:color="000000" w:sz="4" w:space="0"/>
              <w:bottom w:val="single" w:color="000000" w:sz="4" w:space="0"/>
              <w:right w:val="nil"/>
            </w:tcBorders>
            <w:shd w:val="clear" w:color="FFFFFF" w:fill="FFFFFF"/>
            <w:vAlign w:val="center"/>
          </w:tcPr>
          <w:p w14:paraId="3F222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检修井</w:t>
            </w:r>
          </w:p>
        </w:tc>
        <w:tc>
          <w:tcPr>
            <w:tcW w:w="3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D9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1.规格：长*宽*高=500*500*500mm；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2.材质：C25混凝土制作；</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3.复合型盖板；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4.不做底板。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1.材料采购、制作；</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2.安全文明施工措施。</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F125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snapToGrid w:val="0"/>
                <w:color w:val="000000"/>
                <w:kern w:val="0"/>
                <w:sz w:val="20"/>
                <w:szCs w:val="20"/>
                <w:u w:val="none"/>
                <w:lang w:val="en-US" w:eastAsia="zh-CN" w:bidi="ar"/>
              </w:rPr>
              <w:t>个</w:t>
            </w:r>
          </w:p>
        </w:tc>
        <w:tc>
          <w:tcPr>
            <w:tcW w:w="688" w:type="dxa"/>
            <w:tcBorders>
              <w:top w:val="single" w:color="000000" w:sz="4" w:space="0"/>
              <w:left w:val="single" w:color="000000" w:sz="4" w:space="0"/>
              <w:bottom w:val="single" w:color="000000" w:sz="4" w:space="0"/>
              <w:right w:val="nil"/>
            </w:tcBorders>
            <w:shd w:val="clear" w:color="FFFFFF" w:fill="FFFFFF"/>
            <w:vAlign w:val="center"/>
          </w:tcPr>
          <w:p w14:paraId="64C44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D1727">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9CD8B">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AD699">
            <w:pPr>
              <w:jc w:val="cente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9C3D7">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6694">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8C91">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8413">
            <w:pPr>
              <w:jc w:val="cente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A2A92">
            <w:pPr>
              <w:jc w:val="center"/>
              <w:rPr>
                <w:rFonts w:hint="eastAsia" w:ascii="宋体" w:hAnsi="宋体" w:eastAsia="宋体" w:cs="宋体"/>
                <w:i w:val="0"/>
                <w:iCs w:val="0"/>
                <w:color w:val="000000"/>
                <w:sz w:val="22"/>
                <w:szCs w:val="22"/>
                <w:u w:val="none"/>
              </w:rPr>
            </w:pPr>
          </w:p>
        </w:tc>
      </w:tr>
      <w:tr w14:paraId="110F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32" w:type="dxa"/>
            <w:gridSpan w:val="2"/>
            <w:tcBorders>
              <w:top w:val="single" w:color="000000" w:sz="4" w:space="0"/>
              <w:left w:val="single" w:color="000000" w:sz="4" w:space="0"/>
              <w:bottom w:val="single" w:color="000000" w:sz="4" w:space="0"/>
              <w:right w:val="nil"/>
            </w:tcBorders>
            <w:shd w:val="clear" w:color="FFFFFF" w:fill="FFFFFF"/>
            <w:vAlign w:val="center"/>
          </w:tcPr>
          <w:p w14:paraId="07C33A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31" w:type="dxa"/>
            <w:tcBorders>
              <w:top w:val="single" w:color="000000" w:sz="4" w:space="0"/>
              <w:left w:val="nil"/>
              <w:bottom w:val="single" w:color="000000" w:sz="4" w:space="0"/>
              <w:right w:val="nil"/>
            </w:tcBorders>
            <w:shd w:val="clear" w:color="FFFFFF" w:fill="FFFFFF"/>
            <w:vAlign w:val="center"/>
          </w:tcPr>
          <w:p w14:paraId="73B69A0F">
            <w:pPr>
              <w:rPr>
                <w:rFonts w:hint="eastAsia" w:ascii="宋体" w:hAnsi="宋体" w:eastAsia="宋体" w:cs="宋体"/>
                <w:i w:val="0"/>
                <w:iCs w:val="0"/>
                <w:color w:val="000000"/>
                <w:sz w:val="20"/>
                <w:szCs w:val="20"/>
                <w:u w:val="none"/>
              </w:rPr>
            </w:pPr>
          </w:p>
        </w:tc>
        <w:tc>
          <w:tcPr>
            <w:tcW w:w="800" w:type="dxa"/>
            <w:tcBorders>
              <w:top w:val="single" w:color="000000" w:sz="4" w:space="0"/>
              <w:left w:val="nil"/>
              <w:bottom w:val="single" w:color="000000" w:sz="4" w:space="0"/>
              <w:right w:val="nil"/>
            </w:tcBorders>
            <w:shd w:val="clear" w:color="FFFFFF" w:fill="FFFFFF"/>
            <w:vAlign w:val="center"/>
          </w:tcPr>
          <w:p w14:paraId="24E3A81B">
            <w:pPr>
              <w:rPr>
                <w:rFonts w:hint="eastAsia" w:ascii="宋体" w:hAnsi="宋体" w:eastAsia="宋体" w:cs="宋体"/>
                <w:i w:val="0"/>
                <w:iCs w:val="0"/>
                <w:color w:val="000000"/>
                <w:sz w:val="20"/>
                <w:szCs w:val="20"/>
                <w:u w:val="none"/>
              </w:rPr>
            </w:pPr>
          </w:p>
        </w:tc>
        <w:tc>
          <w:tcPr>
            <w:tcW w:w="688" w:type="dxa"/>
            <w:tcBorders>
              <w:top w:val="single" w:color="000000" w:sz="4" w:space="0"/>
              <w:left w:val="nil"/>
              <w:bottom w:val="single" w:color="000000" w:sz="4" w:space="0"/>
              <w:right w:val="nil"/>
            </w:tcBorders>
            <w:shd w:val="clear" w:color="FFFFFF" w:fill="FFFFFF"/>
            <w:vAlign w:val="center"/>
          </w:tcPr>
          <w:p w14:paraId="2AD90FCA">
            <w:pPr>
              <w:rPr>
                <w:rFonts w:hint="eastAsia" w:ascii="宋体" w:hAnsi="宋体" w:eastAsia="宋体" w:cs="宋体"/>
                <w:i w:val="0"/>
                <w:iCs w:val="0"/>
                <w:color w:val="000000"/>
                <w:sz w:val="20"/>
                <w:szCs w:val="20"/>
                <w:u w:val="none"/>
              </w:rPr>
            </w:pPr>
          </w:p>
        </w:tc>
        <w:tc>
          <w:tcPr>
            <w:tcW w:w="762" w:type="dxa"/>
            <w:tcBorders>
              <w:top w:val="single" w:color="000000" w:sz="4" w:space="0"/>
              <w:left w:val="nil"/>
              <w:bottom w:val="single" w:color="000000" w:sz="4" w:space="0"/>
              <w:right w:val="nil"/>
            </w:tcBorders>
            <w:shd w:val="clear" w:color="FFFFFF" w:fill="FFFFFF"/>
            <w:vAlign w:val="center"/>
          </w:tcPr>
          <w:p w14:paraId="12DB901E">
            <w:pPr>
              <w:rPr>
                <w:rFonts w:hint="eastAsia" w:ascii="宋体" w:hAnsi="宋体" w:eastAsia="宋体" w:cs="宋体"/>
                <w:i w:val="0"/>
                <w:iCs w:val="0"/>
                <w:color w:val="000000"/>
                <w:sz w:val="20"/>
                <w:szCs w:val="20"/>
                <w:u w:val="none"/>
              </w:rPr>
            </w:pPr>
          </w:p>
        </w:tc>
        <w:tc>
          <w:tcPr>
            <w:tcW w:w="788" w:type="dxa"/>
            <w:tcBorders>
              <w:top w:val="single" w:color="000000" w:sz="4" w:space="0"/>
              <w:left w:val="nil"/>
              <w:bottom w:val="single" w:color="000000" w:sz="4" w:space="0"/>
              <w:right w:val="nil"/>
            </w:tcBorders>
            <w:shd w:val="clear" w:color="FFFFFF" w:fill="FFFFFF"/>
            <w:vAlign w:val="center"/>
          </w:tcPr>
          <w:p w14:paraId="1E5F2BE7">
            <w:pPr>
              <w:rPr>
                <w:rFonts w:hint="eastAsia" w:ascii="宋体" w:hAnsi="宋体" w:eastAsia="宋体" w:cs="宋体"/>
                <w:i w:val="0"/>
                <w:iCs w:val="0"/>
                <w:color w:val="000000"/>
                <w:sz w:val="20"/>
                <w:szCs w:val="20"/>
                <w:u w:val="none"/>
              </w:rPr>
            </w:pPr>
          </w:p>
        </w:tc>
        <w:tc>
          <w:tcPr>
            <w:tcW w:w="850" w:type="dxa"/>
            <w:tcBorders>
              <w:top w:val="single" w:color="000000" w:sz="4" w:space="0"/>
              <w:left w:val="nil"/>
              <w:bottom w:val="single" w:color="000000" w:sz="4" w:space="0"/>
              <w:right w:val="nil"/>
            </w:tcBorders>
            <w:shd w:val="clear" w:color="FFFFFF" w:fill="FFFFFF"/>
            <w:vAlign w:val="center"/>
          </w:tcPr>
          <w:p w14:paraId="29A8454C">
            <w:pPr>
              <w:rPr>
                <w:rFonts w:hint="eastAsia" w:ascii="宋体" w:hAnsi="宋体" w:eastAsia="宋体" w:cs="宋体"/>
                <w:i w:val="0"/>
                <w:iCs w:val="0"/>
                <w:color w:val="000000"/>
                <w:sz w:val="22"/>
                <w:szCs w:val="22"/>
                <w:u w:val="none"/>
              </w:rPr>
            </w:pPr>
          </w:p>
        </w:tc>
        <w:tc>
          <w:tcPr>
            <w:tcW w:w="800" w:type="dxa"/>
            <w:tcBorders>
              <w:top w:val="single" w:color="000000" w:sz="4" w:space="0"/>
              <w:left w:val="nil"/>
              <w:bottom w:val="single" w:color="000000" w:sz="4" w:space="0"/>
              <w:right w:val="nil"/>
            </w:tcBorders>
            <w:shd w:val="clear" w:color="FFFFFF" w:fill="FFFFFF"/>
            <w:vAlign w:val="center"/>
          </w:tcPr>
          <w:p w14:paraId="4767042C">
            <w:pPr>
              <w:rPr>
                <w:rFonts w:hint="eastAsia" w:ascii="宋体" w:hAnsi="宋体" w:eastAsia="宋体" w:cs="宋体"/>
                <w:i w:val="0"/>
                <w:iCs w:val="0"/>
                <w:color w:val="000000"/>
                <w:sz w:val="22"/>
                <w:szCs w:val="22"/>
                <w:u w:val="none"/>
              </w:rPr>
            </w:pPr>
          </w:p>
        </w:tc>
        <w:tc>
          <w:tcPr>
            <w:tcW w:w="1187" w:type="dxa"/>
            <w:tcBorders>
              <w:top w:val="single" w:color="000000" w:sz="4" w:space="0"/>
              <w:left w:val="nil"/>
              <w:bottom w:val="single" w:color="000000" w:sz="4" w:space="0"/>
              <w:right w:val="nil"/>
            </w:tcBorders>
            <w:shd w:val="clear" w:color="FFFFFF" w:fill="FFFFFF"/>
            <w:vAlign w:val="center"/>
          </w:tcPr>
          <w:p w14:paraId="018ED732">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93049">
            <w:pPr>
              <w:jc w:val="cente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7DF6">
            <w:pPr>
              <w:jc w:val="cente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2A90F">
            <w:pPr>
              <w:jc w:val="center"/>
              <w:rPr>
                <w:rFonts w:hint="eastAsia" w:ascii="宋体" w:hAnsi="宋体" w:eastAsia="宋体" w:cs="宋体"/>
                <w:i w:val="0"/>
                <w:iCs w:val="0"/>
                <w:color w:val="000000"/>
                <w:sz w:val="22"/>
                <w:szCs w:val="22"/>
                <w:u w:val="none"/>
              </w:rPr>
            </w:pPr>
          </w:p>
        </w:tc>
      </w:tr>
    </w:tbl>
    <w:p w14:paraId="6A62E545">
      <w:pPr>
        <w:rPr>
          <w:rFonts w:hint="eastAsia"/>
        </w:rPr>
      </w:pPr>
    </w:p>
    <w:p w14:paraId="514FF283">
      <w:pPr>
        <w:rPr>
          <w:rFonts w:hint="eastAsia"/>
        </w:rPr>
      </w:pPr>
      <w:r>
        <w:rPr>
          <w:rFonts w:hint="eastAsia"/>
        </w:rPr>
        <w:t>注：投标单位需熟悉现场，充分考虑施工方案。此项目为总价包干</w:t>
      </w:r>
      <w:r>
        <w:rPr>
          <w:rFonts w:hint="eastAsia" w:eastAsia="宋体"/>
          <w:lang w:eastAsia="zh-CN"/>
        </w:rPr>
        <w:t>，</w:t>
      </w:r>
      <w:r>
        <w:rPr>
          <w:rFonts w:hint="eastAsia"/>
        </w:rPr>
        <w:t>现场增加清单外材料，视为已综合考虑在此项目清单报价之中。</w:t>
      </w:r>
    </w:p>
    <w:p w14:paraId="03741E78">
      <w:pPr>
        <w:rPr>
          <w:rFonts w:hint="eastAsia"/>
        </w:rPr>
      </w:pPr>
      <w:bookmarkStart w:id="0" w:name="_GoBack"/>
      <w:bookmarkEnd w:id="0"/>
    </w:p>
    <w:p w14:paraId="5918DBB6">
      <w:pPr>
        <w:rPr>
          <w:rFonts w:hint="eastAsia"/>
        </w:rPr>
      </w:pPr>
    </w:p>
    <w:p w14:paraId="2A84B8B5">
      <w:pPr>
        <w:rPr>
          <w:rFonts w:hint="eastAsia"/>
          <w:sz w:val="22"/>
          <w:szCs w:val="22"/>
        </w:rPr>
      </w:pPr>
    </w:p>
    <w:p w14:paraId="3046FABC">
      <w:pPr>
        <w:rPr>
          <w:rFonts w:hint="eastAsia" w:eastAsia="宋体"/>
          <w:sz w:val="22"/>
          <w:szCs w:val="22"/>
          <w:lang w:val="en-US" w:eastAsia="zh-CN"/>
        </w:rPr>
      </w:pPr>
      <w:r>
        <w:rPr>
          <w:rFonts w:hint="eastAsia" w:eastAsia="宋体"/>
          <w:sz w:val="22"/>
          <w:szCs w:val="22"/>
          <w:lang w:val="en-US" w:eastAsia="zh-CN"/>
        </w:rPr>
        <w:t xml:space="preserve">                                                                            报价单位：（盖章）      </w:t>
      </w:r>
    </w:p>
    <w:p w14:paraId="07FD84BD">
      <w:pPr>
        <w:ind w:firstLine="8800" w:firstLineChars="4000"/>
        <w:rPr>
          <w:rFonts w:hint="eastAsia" w:eastAsia="宋体"/>
          <w:sz w:val="22"/>
          <w:szCs w:val="22"/>
          <w:lang w:val="en-US" w:eastAsia="zh-CN"/>
        </w:rPr>
      </w:pPr>
      <w:r>
        <w:rPr>
          <w:rFonts w:hint="eastAsia" w:eastAsia="宋体"/>
          <w:sz w:val="22"/>
          <w:szCs w:val="22"/>
          <w:lang w:val="en-US" w:eastAsia="zh-CN"/>
        </w:rPr>
        <w:t xml:space="preserve"> 联系人、电话：</w:t>
      </w:r>
    </w:p>
    <w:p w14:paraId="5AED7EAD">
      <w:pPr>
        <w:rPr>
          <w:rFonts w:hint="eastAsia"/>
          <w:sz w:val="24"/>
          <w:szCs w:val="24"/>
        </w:rPr>
      </w:pPr>
    </w:p>
    <w:sectPr>
      <w:pgSz w:w="16838" w:h="11906" w:orient="landscape"/>
      <w:pgMar w:top="1134" w:right="1440" w:bottom="113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944B6"/>
    <w:rsid w:val="08B1198F"/>
    <w:rsid w:val="0E6F0B75"/>
    <w:rsid w:val="0F0454D4"/>
    <w:rsid w:val="14060DE1"/>
    <w:rsid w:val="1EFC749E"/>
    <w:rsid w:val="307D1FD3"/>
    <w:rsid w:val="311741D6"/>
    <w:rsid w:val="34AE6BFF"/>
    <w:rsid w:val="3D510A70"/>
    <w:rsid w:val="40356427"/>
    <w:rsid w:val="44F248E6"/>
    <w:rsid w:val="452C768C"/>
    <w:rsid w:val="45AD2F03"/>
    <w:rsid w:val="476B0980"/>
    <w:rsid w:val="478101A3"/>
    <w:rsid w:val="4B165FFD"/>
    <w:rsid w:val="4BF76C86"/>
    <w:rsid w:val="4CC944B6"/>
    <w:rsid w:val="4CD07170"/>
    <w:rsid w:val="4CD3324F"/>
    <w:rsid w:val="4DB90987"/>
    <w:rsid w:val="4F702CB0"/>
    <w:rsid w:val="558C6691"/>
    <w:rsid w:val="5E0B3435"/>
    <w:rsid w:val="5E8C14B0"/>
    <w:rsid w:val="60E53887"/>
    <w:rsid w:val="6320666B"/>
    <w:rsid w:val="6DDB1B0C"/>
    <w:rsid w:val="70B02420"/>
    <w:rsid w:val="719E357C"/>
    <w:rsid w:val="7329331A"/>
    <w:rsid w:val="76361FD5"/>
    <w:rsid w:val="7A0B3779"/>
    <w:rsid w:val="7DA261A2"/>
    <w:rsid w:val="7F141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1334</Words>
  <Characters>1563</Characters>
  <Lines>0</Lines>
  <Paragraphs>0</Paragraphs>
  <TotalTime>21</TotalTime>
  <ScaleCrop>false</ScaleCrop>
  <LinksUpToDate>false</LinksUpToDate>
  <CharactersWithSpaces>1659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2025-07-11T07:44:00Z</dcterms:created>
  <dc:creator>瓷娃娃</dc:creator>
  <cp:lastModifiedBy>瓷娃娃</cp:lastModifiedBy>
  <dcterms:modified xsi:type="dcterms:W3CDTF">2025-08-12T09:10:01Z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190C63CB31B34935AB82C9FA00EACC21_13</vt:lpwstr>
  </property>
  <property fmtid="{D5CDD505-2E9C-101B-9397-08002B2CF9AE}" pid="4" name="KSOTemplateDocerSaveRecord">
    <vt:lpwstr>eyJoZGlkIjoiMTQ1MjViMTYxN2JhZGMzZmJmZDM2YTAyZDMzMjFmZjQiLCJ1c2VySWQiOiIzODY3NTk5NjgifQ==</vt:lpwstr>
  </property>
</Properties>
</file>