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A9B30">
      <w:pPr>
        <w:spacing w:line="360" w:lineRule="auto"/>
        <w:jc w:val="center"/>
        <w:rPr>
          <w:rFonts w:hint="eastAsia" w:ascii="黑体" w:hAnsi="黑体" w:eastAsia="黑体" w:cs="黑体"/>
          <w:b/>
          <w:bCs/>
          <w:color w:val="auto"/>
          <w:sz w:val="96"/>
          <w:szCs w:val="96"/>
        </w:rPr>
      </w:pPr>
    </w:p>
    <w:p w14:paraId="1AC0625F">
      <w:pPr>
        <w:spacing w:line="360" w:lineRule="auto"/>
        <w:jc w:val="center"/>
        <w:rPr>
          <w:rFonts w:hint="eastAsia" w:ascii="黑体" w:hAnsi="黑体" w:eastAsia="黑体" w:cs="黑体"/>
          <w:b/>
          <w:bCs/>
          <w:color w:val="auto"/>
          <w:sz w:val="96"/>
          <w:szCs w:val="96"/>
          <w:lang w:eastAsia="zh-CN"/>
        </w:rPr>
      </w:pPr>
      <w:bookmarkStart w:id="0" w:name="_Hlk202364245"/>
      <w:r>
        <w:rPr>
          <w:rFonts w:hint="eastAsia" w:ascii="黑体" w:hAnsi="黑体" w:eastAsia="黑体" w:cs="黑体"/>
          <w:b/>
          <w:bCs/>
          <w:color w:val="auto"/>
          <w:sz w:val="96"/>
          <w:szCs w:val="96"/>
          <w:lang w:eastAsia="zh-CN"/>
        </w:rPr>
        <w:t>询价通知书</w:t>
      </w:r>
      <w:bookmarkEnd w:id="0"/>
    </w:p>
    <w:p w14:paraId="618A997F">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（编号：CQIP-2025062501）</w:t>
      </w:r>
    </w:p>
    <w:p w14:paraId="1D2F85D0">
      <w:pPr>
        <w:spacing w:line="360" w:lineRule="auto"/>
        <w:jc w:val="center"/>
        <w:rPr>
          <w:rFonts w:hint="eastAsia" w:ascii="仿宋" w:hAnsi="仿宋" w:eastAsia="仿宋" w:cs="仿宋"/>
          <w:color w:val="auto"/>
          <w:sz w:val="24"/>
          <w:szCs w:val="24"/>
          <w:lang w:eastAsia="zh-CN"/>
        </w:rPr>
      </w:pPr>
    </w:p>
    <w:p w14:paraId="432D4CE3">
      <w:pPr>
        <w:spacing w:line="360" w:lineRule="auto"/>
        <w:jc w:val="center"/>
        <w:rPr>
          <w:rFonts w:hint="eastAsia" w:ascii="仿宋" w:hAnsi="仿宋" w:eastAsia="仿宋" w:cs="仿宋"/>
          <w:color w:val="auto"/>
          <w:sz w:val="24"/>
          <w:szCs w:val="24"/>
          <w:lang w:eastAsia="zh-CN"/>
        </w:rPr>
      </w:pPr>
    </w:p>
    <w:p w14:paraId="3BEB6F84">
      <w:pPr>
        <w:spacing w:line="360" w:lineRule="auto"/>
        <w:jc w:val="center"/>
        <w:rPr>
          <w:rFonts w:hint="eastAsia" w:ascii="仿宋" w:hAnsi="仿宋" w:eastAsia="仿宋" w:cs="仿宋"/>
          <w:color w:val="auto"/>
          <w:sz w:val="24"/>
          <w:szCs w:val="24"/>
          <w:lang w:eastAsia="zh-CN"/>
        </w:rPr>
      </w:pPr>
    </w:p>
    <w:p w14:paraId="5221E6A1">
      <w:pPr>
        <w:spacing w:line="360" w:lineRule="auto"/>
        <w:jc w:val="center"/>
        <w:rPr>
          <w:rFonts w:hint="eastAsia" w:ascii="仿宋" w:hAnsi="仿宋" w:eastAsia="仿宋" w:cs="仿宋"/>
          <w:color w:val="auto"/>
          <w:sz w:val="24"/>
          <w:szCs w:val="24"/>
          <w:lang w:eastAsia="zh-CN"/>
        </w:rPr>
      </w:pPr>
    </w:p>
    <w:p w14:paraId="799999DB">
      <w:pPr>
        <w:spacing w:line="360" w:lineRule="auto"/>
        <w:jc w:val="center"/>
        <w:rPr>
          <w:rFonts w:hint="eastAsia" w:ascii="仿宋" w:hAnsi="仿宋" w:eastAsia="仿宋" w:cs="仿宋"/>
          <w:color w:val="auto"/>
          <w:sz w:val="24"/>
          <w:szCs w:val="24"/>
          <w:lang w:eastAsia="zh-CN"/>
        </w:rPr>
      </w:pPr>
    </w:p>
    <w:p w14:paraId="14B071EE">
      <w:pPr>
        <w:spacing w:line="360" w:lineRule="auto"/>
        <w:jc w:val="center"/>
        <w:rPr>
          <w:rFonts w:hint="eastAsia" w:ascii="仿宋" w:hAnsi="仿宋" w:eastAsia="仿宋" w:cs="仿宋"/>
          <w:color w:val="auto"/>
          <w:sz w:val="24"/>
          <w:szCs w:val="24"/>
          <w:lang w:eastAsia="zh-CN"/>
        </w:rPr>
      </w:pPr>
    </w:p>
    <w:p w14:paraId="500F653E">
      <w:pPr>
        <w:spacing w:line="360" w:lineRule="auto"/>
        <w:jc w:val="center"/>
        <w:rPr>
          <w:rFonts w:hint="eastAsia" w:ascii="仿宋" w:hAnsi="仿宋" w:eastAsia="仿宋" w:cs="仿宋"/>
          <w:color w:val="auto"/>
          <w:sz w:val="24"/>
          <w:szCs w:val="24"/>
          <w:lang w:eastAsia="zh-CN"/>
        </w:rPr>
      </w:pPr>
    </w:p>
    <w:p w14:paraId="79ABD4AF">
      <w:pPr>
        <w:spacing w:line="360" w:lineRule="auto"/>
        <w:jc w:val="center"/>
        <w:rPr>
          <w:rFonts w:hint="eastAsia" w:ascii="仿宋" w:hAnsi="仿宋" w:eastAsia="仿宋" w:cs="仿宋"/>
          <w:color w:val="auto"/>
          <w:sz w:val="24"/>
          <w:szCs w:val="24"/>
          <w:lang w:eastAsia="zh-CN"/>
        </w:rPr>
      </w:pPr>
    </w:p>
    <w:p w14:paraId="500B439F">
      <w:pPr>
        <w:spacing w:line="360" w:lineRule="auto"/>
        <w:jc w:val="both"/>
        <w:rPr>
          <w:rFonts w:hint="eastAsia" w:ascii="微软雅黑" w:hAnsi="微软雅黑" w:eastAsia="微软雅黑" w:cs="微软雅黑"/>
          <w:b/>
          <w:bCs/>
          <w:color w:val="auto"/>
          <w:sz w:val="36"/>
          <w:szCs w:val="36"/>
          <w:lang w:eastAsia="zh-CN"/>
        </w:rPr>
      </w:pPr>
      <w:r>
        <w:rPr>
          <w:rFonts w:hint="eastAsia" w:ascii="微软雅黑" w:hAnsi="微软雅黑" w:eastAsia="微软雅黑" w:cs="微软雅黑"/>
          <w:b/>
          <w:bCs/>
          <w:color w:val="auto"/>
          <w:sz w:val="36"/>
          <w:szCs w:val="36"/>
          <w:lang w:eastAsia="zh-CN"/>
        </w:rPr>
        <w:t xml:space="preserve">    项目名称：</w:t>
      </w:r>
      <w:r>
        <w:rPr>
          <w:rFonts w:hint="eastAsia" w:ascii="微软雅黑" w:hAnsi="微软雅黑" w:eastAsia="微软雅黑" w:cs="微软雅黑"/>
          <w:color w:val="auto"/>
          <w:sz w:val="36"/>
          <w:szCs w:val="36"/>
          <w:lang w:eastAsia="zh-CN"/>
        </w:rPr>
        <w:t>国际楼学生公寓3-16层装修改造工程</w:t>
      </w:r>
    </w:p>
    <w:p w14:paraId="5B2E02F3">
      <w:pPr>
        <w:spacing w:line="360" w:lineRule="auto"/>
        <w:ind w:firstLine="720"/>
        <w:jc w:val="both"/>
        <w:rPr>
          <w:rFonts w:hint="eastAsia" w:ascii="微软雅黑" w:hAnsi="微软雅黑" w:eastAsia="微软雅黑" w:cs="微软雅黑"/>
          <w:color w:val="auto"/>
          <w:sz w:val="36"/>
          <w:szCs w:val="36"/>
          <w:lang w:eastAsia="zh-CN"/>
        </w:rPr>
      </w:pPr>
      <w:r>
        <w:rPr>
          <w:rFonts w:hint="eastAsia" w:ascii="微软雅黑" w:hAnsi="微软雅黑" w:eastAsia="微软雅黑" w:cs="微软雅黑"/>
          <w:b/>
          <w:bCs/>
          <w:color w:val="auto"/>
          <w:sz w:val="36"/>
          <w:szCs w:val="36"/>
          <w:lang w:eastAsia="zh-CN"/>
        </w:rPr>
        <w:t>采 购 人：</w:t>
      </w:r>
      <w:r>
        <w:rPr>
          <w:rFonts w:hint="eastAsia" w:ascii="微软雅黑" w:hAnsi="微软雅黑" w:eastAsia="微软雅黑" w:cs="微软雅黑"/>
          <w:color w:val="auto"/>
          <w:sz w:val="36"/>
          <w:szCs w:val="36"/>
          <w:lang w:eastAsia="zh-CN"/>
        </w:rPr>
        <w:t>重庆理工职业学院</w:t>
      </w:r>
    </w:p>
    <w:p w14:paraId="0F341C77">
      <w:pPr>
        <w:spacing w:line="360" w:lineRule="auto"/>
        <w:ind w:firstLine="720"/>
        <w:jc w:val="center"/>
        <w:rPr>
          <w:rFonts w:hint="eastAsia" w:ascii="微软雅黑" w:hAnsi="微软雅黑" w:eastAsia="微软雅黑" w:cs="微软雅黑"/>
          <w:b/>
          <w:bCs/>
          <w:color w:val="auto"/>
          <w:sz w:val="48"/>
          <w:szCs w:val="48"/>
          <w:lang w:eastAsia="zh-CN"/>
        </w:rPr>
      </w:pPr>
    </w:p>
    <w:p w14:paraId="5D34C231">
      <w:pPr>
        <w:spacing w:line="360" w:lineRule="auto"/>
        <w:ind w:firstLine="720"/>
        <w:jc w:val="center"/>
        <w:rPr>
          <w:rFonts w:hint="eastAsia" w:ascii="微软雅黑" w:hAnsi="微软雅黑" w:eastAsia="微软雅黑" w:cs="微软雅黑"/>
          <w:b/>
          <w:bCs/>
          <w:color w:val="auto"/>
          <w:sz w:val="48"/>
          <w:szCs w:val="48"/>
          <w:lang w:eastAsia="zh-CN"/>
        </w:rPr>
      </w:pPr>
    </w:p>
    <w:p w14:paraId="4C0ABE26">
      <w:pPr>
        <w:spacing w:line="360" w:lineRule="auto"/>
        <w:jc w:val="center"/>
        <w:rPr>
          <w:rFonts w:hint="eastAsia" w:ascii="仿宋" w:hAnsi="仿宋" w:eastAsia="仿宋" w:cs="仿宋"/>
          <w:color w:val="auto"/>
          <w:sz w:val="24"/>
          <w:szCs w:val="24"/>
          <w:lang w:eastAsia="zh-CN"/>
        </w:rPr>
      </w:pPr>
      <w:r>
        <w:rPr>
          <w:rFonts w:hint="eastAsia" w:ascii="微软雅黑" w:hAnsi="微软雅黑" w:eastAsia="微软雅黑" w:cs="微软雅黑"/>
          <w:color w:val="auto"/>
          <w:sz w:val="36"/>
          <w:szCs w:val="36"/>
          <w:lang w:eastAsia="zh-CN"/>
        </w:rPr>
        <w:t>二〇二五年七月</w:t>
      </w:r>
    </w:p>
    <w:p w14:paraId="532D844E">
      <w:pPr>
        <w:spacing w:line="360" w:lineRule="auto"/>
        <w:jc w:val="center"/>
        <w:rPr>
          <w:rFonts w:hint="eastAsia" w:ascii="仿宋" w:hAnsi="仿宋" w:eastAsia="仿宋" w:cs="仿宋"/>
          <w:color w:val="auto"/>
          <w:sz w:val="24"/>
          <w:szCs w:val="24"/>
          <w:lang w:eastAsia="zh-CN"/>
        </w:rPr>
        <w:sectPr>
          <w:footerReference r:id="rId3" w:type="default"/>
          <w:pgSz w:w="11907" w:h="16840"/>
          <w:pgMar w:top="1417" w:right="1417" w:bottom="1417" w:left="1417" w:header="0" w:footer="853" w:gutter="0"/>
          <w:pgNumType w:start="1"/>
          <w:cols w:space="720" w:num="1"/>
        </w:sectPr>
      </w:pPr>
    </w:p>
    <w:p w14:paraId="14398FA3">
      <w:pPr>
        <w:spacing w:line="360" w:lineRule="auto"/>
        <w:jc w:val="center"/>
        <w:rPr>
          <w:rFonts w:hint="eastAsia" w:ascii="黑体" w:hAnsi="黑体" w:eastAsia="黑体" w:cs="黑体"/>
          <w:b/>
          <w:bCs/>
          <w:color w:val="auto"/>
          <w:sz w:val="32"/>
          <w:szCs w:val="32"/>
          <w:lang w:eastAsia="zh-CN"/>
        </w:rPr>
      </w:pPr>
      <w:bookmarkStart w:id="1" w:name="bookmark1"/>
      <w:bookmarkEnd w:id="1"/>
      <w:bookmarkStart w:id="2" w:name="bookmark2"/>
      <w:bookmarkEnd w:id="2"/>
      <w:r>
        <w:rPr>
          <w:rFonts w:hint="eastAsia" w:ascii="黑体" w:hAnsi="黑体" w:eastAsia="黑体" w:cs="黑体"/>
          <w:b/>
          <w:bCs/>
          <w:color w:val="auto"/>
          <w:sz w:val="32"/>
          <w:szCs w:val="32"/>
          <w:lang w:eastAsia="zh-CN"/>
        </w:rPr>
        <w:t>第一篇  询价邀请书</w:t>
      </w:r>
    </w:p>
    <w:p w14:paraId="7F4817E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重庆理工职业学院（以下简称“采购人 ”）对本校国际楼学生公寓3-16层装修改造工程进行询价采购，欢迎有资格的供应商参加询价比选。</w:t>
      </w:r>
    </w:p>
    <w:p w14:paraId="0BC937BC">
      <w:pPr>
        <w:spacing w:line="360" w:lineRule="auto"/>
        <w:ind w:firstLine="480"/>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rPr>
        <w:t>一、招标项目内容</w:t>
      </w:r>
    </w:p>
    <w:tbl>
      <w:tblPr>
        <w:tblStyle w:val="22"/>
        <w:tblW w:w="90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0"/>
        <w:gridCol w:w="1971"/>
        <w:gridCol w:w="1971"/>
        <w:gridCol w:w="1972"/>
      </w:tblGrid>
      <w:tr w14:paraId="1490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50" w:type="dxa"/>
            <w:vAlign w:val="center"/>
          </w:tcPr>
          <w:p w14:paraId="416BD9E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971" w:type="dxa"/>
            <w:vAlign w:val="center"/>
          </w:tcPr>
          <w:p w14:paraId="6192312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响应保证金</w:t>
            </w:r>
          </w:p>
          <w:p w14:paraId="407489A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1971" w:type="dxa"/>
            <w:vAlign w:val="center"/>
          </w:tcPr>
          <w:p w14:paraId="51D16F0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p w14:paraId="6A9D7BE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1972" w:type="dxa"/>
            <w:vAlign w:val="center"/>
          </w:tcPr>
          <w:p w14:paraId="36A7C36F">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成交供应商数量</w:t>
            </w:r>
          </w:p>
          <w:p w14:paraId="5D0143BA">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w:t>
            </w:r>
          </w:p>
        </w:tc>
      </w:tr>
      <w:tr w14:paraId="52B1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3150" w:type="dxa"/>
            <w:vAlign w:val="center"/>
          </w:tcPr>
          <w:p w14:paraId="77F1A55F">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国际楼学生公寓3-16层</w:t>
            </w:r>
          </w:p>
          <w:p w14:paraId="0C6221A7">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装修改造工程</w:t>
            </w:r>
          </w:p>
        </w:tc>
        <w:tc>
          <w:tcPr>
            <w:tcW w:w="1971" w:type="dxa"/>
            <w:vAlign w:val="center"/>
          </w:tcPr>
          <w:p w14:paraId="2BB1CC20">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3.00</w:t>
            </w:r>
          </w:p>
        </w:tc>
        <w:tc>
          <w:tcPr>
            <w:tcW w:w="1971" w:type="dxa"/>
            <w:vAlign w:val="center"/>
          </w:tcPr>
          <w:p w14:paraId="5EF0B3E7">
            <w:pPr>
              <w:jc w:val="center"/>
              <w:rPr>
                <w:rFonts w:hint="eastAsia" w:ascii="仿宋" w:hAnsi="仿宋" w:eastAsia="仿宋" w:cs="仿宋"/>
                <w:color w:val="auto"/>
                <w:sz w:val="24"/>
                <w:szCs w:val="24"/>
                <w:lang w:eastAsia="zh-CN"/>
              </w:rPr>
            </w:pPr>
            <w:r>
              <w:rPr>
                <w:rFonts w:hint="eastAsia" w:ascii="宋体" w:hAnsi="宋体" w:eastAsia="宋体" w:cs="宋体"/>
                <w:color w:val="auto"/>
                <w:sz w:val="24"/>
                <w:szCs w:val="24"/>
                <w:lang w:eastAsia="zh-CN"/>
              </w:rPr>
              <w:t>/</w:t>
            </w:r>
          </w:p>
        </w:tc>
        <w:tc>
          <w:tcPr>
            <w:tcW w:w="1972" w:type="dxa"/>
            <w:vAlign w:val="center"/>
          </w:tcPr>
          <w:p w14:paraId="53327B4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r>
    </w:tbl>
    <w:p w14:paraId="7C264638">
      <w:pPr>
        <w:spacing w:line="360" w:lineRule="auto"/>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lang w:eastAsia="zh-CN"/>
        </w:rPr>
        <w:t xml:space="preserve">    </w:t>
      </w:r>
      <w:r>
        <w:rPr>
          <w:rFonts w:hint="eastAsia" w:ascii="黑体" w:hAnsi="黑体" w:eastAsia="黑体" w:cs="黑体"/>
          <w:b/>
          <w:bCs/>
          <w:color w:val="auto"/>
          <w:sz w:val="24"/>
          <w:szCs w:val="24"/>
        </w:rPr>
        <w:t>二、资金来源</w:t>
      </w:r>
    </w:p>
    <w:p w14:paraId="6360DC0F">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采购人自筹资金。</w:t>
      </w:r>
    </w:p>
    <w:p w14:paraId="15E72642">
      <w:pPr>
        <w:spacing w:line="360" w:lineRule="auto"/>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lang w:eastAsia="zh-CN"/>
        </w:rPr>
        <w:t xml:space="preserve">    </w:t>
      </w:r>
      <w:r>
        <w:rPr>
          <w:rFonts w:hint="eastAsia" w:ascii="黑体" w:hAnsi="黑体" w:eastAsia="黑体" w:cs="黑体"/>
          <w:b/>
          <w:bCs/>
          <w:color w:val="auto"/>
          <w:sz w:val="24"/>
          <w:szCs w:val="24"/>
        </w:rPr>
        <w:t>三、资格要求</w:t>
      </w:r>
    </w:p>
    <w:p w14:paraId="5FB380A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询价供应商是指向采购人提供货物、工程施工或者服务的法人、其他组织或者自然人（以下简称“供应商 ”）。合格的供应商应符合下列条件：</w:t>
      </w:r>
    </w:p>
    <w:p w14:paraId="045B55D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（一）一般资格条件</w:t>
      </w:r>
    </w:p>
    <w:p w14:paraId="3EF9FF4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1.具有独立承担民事责任能力；</w:t>
      </w:r>
    </w:p>
    <w:p w14:paraId="17C2907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2.具有良好的商业信誉；</w:t>
      </w:r>
    </w:p>
    <w:p w14:paraId="1E2D315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3.具有履行合同所必需的设备和专业技术能力；</w:t>
      </w:r>
    </w:p>
    <w:p w14:paraId="46CAF06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4.有依法纳税的良好记录；</w:t>
      </w:r>
    </w:p>
    <w:p w14:paraId="7276A8A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5.参加询价采购前3年内，在经营活动中没有重大违法记录；</w:t>
      </w:r>
    </w:p>
    <w:p w14:paraId="4D307F0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6.法律、行政法规规定的其他条件。</w:t>
      </w:r>
    </w:p>
    <w:p w14:paraId="58854B1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（二）特定资格条件</w:t>
      </w:r>
    </w:p>
    <w:p w14:paraId="0C9D8EC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1.供应商须具备建设行政主管部门颁发的有效的建筑工程施工总承包叁级及以上资质或建筑装修装饰工程专业承包贰级及以上资质（提供证书复印件并加盖供应商公章）；</w:t>
      </w:r>
    </w:p>
    <w:p w14:paraId="137AA28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2.供应商须具备建设行政主管部门颁发的有效的安全生产许可证（提供证书复印件并加盖供应商公章）。</w:t>
      </w:r>
    </w:p>
    <w:p w14:paraId="62BA377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3.已实地踏勘现场并签到的意向供应商。</w:t>
      </w:r>
    </w:p>
    <w:p w14:paraId="1CEF8876">
      <w:pPr>
        <w:spacing w:line="360" w:lineRule="auto"/>
        <w:ind w:firstLine="480"/>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rPr>
        <w:t>四、询价有关说明</w:t>
      </w:r>
    </w:p>
    <w:p w14:paraId="2C52C66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凡有意参加询价的供应商，请于本公告发布之日起至提交响应文件截止时间前，在重庆理工职业学院官网校企合作一体化招标采购平台（http</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//www.cqip.com.cn/html/15/Index.shtml）</w:t>
      </w:r>
      <w:r>
        <w:rPr>
          <w:rFonts w:hint="eastAsia" w:ascii="仿宋" w:hAnsi="仿宋" w:eastAsia="仿宋" w:cs="仿宋"/>
          <w:color w:val="auto"/>
          <w:sz w:val="24"/>
          <w:szCs w:val="24"/>
          <w:lang w:eastAsia="zh-CN"/>
        </w:rPr>
        <w:t>“下载中心”</w:t>
      </w:r>
      <w:r>
        <w:rPr>
          <w:rFonts w:hint="eastAsia" w:ascii="仿宋" w:hAnsi="仿宋" w:eastAsia="仿宋" w:cs="仿宋"/>
          <w:color w:val="auto"/>
          <w:sz w:val="24"/>
          <w:szCs w:val="24"/>
        </w:rPr>
        <w:t>下载本项目招标文件以及</w:t>
      </w:r>
      <w:r>
        <w:rPr>
          <w:rFonts w:hint="eastAsia" w:ascii="仿宋" w:hAnsi="仿宋" w:eastAsia="仿宋" w:cs="仿宋"/>
          <w:color w:val="auto"/>
          <w:sz w:val="24"/>
          <w:szCs w:val="24"/>
          <w:lang w:eastAsia="zh-CN"/>
        </w:rPr>
        <w:t>清</w:t>
      </w:r>
    </w:p>
    <w:p w14:paraId="7E910A7E">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单、图纸、补遗等开标前公布的所有项目资料。无论供应商下载与否，均视为已晓所有招标文件内容。</w:t>
      </w:r>
    </w:p>
    <w:p w14:paraId="1D4C77C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（二）询价文件购买费：不收取。</w:t>
      </w:r>
    </w:p>
    <w:p w14:paraId="199B549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（三）供应商须满足以下要件，其响应文件才会被接受：</w:t>
      </w:r>
    </w:p>
    <w:p w14:paraId="770851F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1.按时递交响应文件；</w:t>
      </w:r>
    </w:p>
    <w:p w14:paraId="153E0E6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2.在响应文件递交截止日前支付了询价响应保证金。</w:t>
      </w:r>
    </w:p>
    <w:p w14:paraId="08BC82B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（四）响应文件递交地址：重庆市巴南区界石镇东城大道588号重庆理工职业学院行政楼5楼527室，收件人：张老师，电话：166 2360 4445。</w:t>
      </w:r>
    </w:p>
    <w:p w14:paraId="42F0019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（五）响应文件递交开始时间：2025 年7月4日北京时间14:00。</w:t>
      </w:r>
    </w:p>
    <w:p w14:paraId="0C791C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w:t>
      </w:r>
      <w:bookmarkStart w:id="3" w:name="_Hlk202364155"/>
      <w:r>
        <w:rPr>
          <w:rFonts w:hint="eastAsia" w:ascii="仿宋" w:hAnsi="仿宋" w:eastAsia="仿宋" w:cs="仿宋"/>
          <w:color w:val="auto"/>
          <w:sz w:val="24"/>
          <w:szCs w:val="24"/>
          <w:lang w:eastAsia="zh-CN"/>
        </w:rPr>
        <w:t>响应文件递交截止时间</w:t>
      </w:r>
      <w:bookmarkEnd w:id="3"/>
      <w:r>
        <w:rPr>
          <w:rFonts w:hint="eastAsia" w:ascii="仿宋" w:hAnsi="仿宋" w:eastAsia="仿宋" w:cs="仿宋"/>
          <w:color w:val="auto"/>
          <w:sz w:val="24"/>
          <w:szCs w:val="24"/>
          <w:lang w:eastAsia="zh-CN"/>
        </w:rPr>
        <w:t>：2025 年7月4日北京时间14:30。</w:t>
      </w:r>
    </w:p>
    <w:p w14:paraId="1D425CA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（七）询价比选开始时间：2025年7月4日北京时间14:30。</w:t>
      </w:r>
    </w:p>
    <w:p w14:paraId="15E93AF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（八）比选地址：同响应文件递交地址。</w:t>
      </w:r>
    </w:p>
    <w:p w14:paraId="2F884729">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五、响应保证金</w:t>
      </w:r>
    </w:p>
    <w:p w14:paraId="1A1ECE8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（一）响应保证金方式：现金。</w:t>
      </w:r>
    </w:p>
    <w:p w14:paraId="2AE5FAB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1.保证金的支付：信封密封，注明项目名称和供应商名称并加盖供应商公章，开标现场提交。</w:t>
      </w:r>
    </w:p>
    <w:p w14:paraId="53CF367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2.保证金的金额：30,000.00元（大写：人民币叁万元整）。</w:t>
      </w:r>
    </w:p>
    <w:p w14:paraId="4F6A194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（二）响应保证金退还方式：</w:t>
      </w:r>
    </w:p>
    <w:p w14:paraId="34577CC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1.未成交供应商的响应保证金，在成交通知书发放后5个工作日内按来款渠道直接退还。</w:t>
      </w:r>
    </w:p>
    <w:p w14:paraId="1B5B821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2.成交供应商的响应保证金，在成交供应商与采购人签订合同后5个工作日内按资金来款渠道直接退还。</w:t>
      </w:r>
    </w:p>
    <w:p w14:paraId="2099857E">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六、询价有关规定</w:t>
      </w:r>
    </w:p>
    <w:p w14:paraId="3CA2F8E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若同一合同项（分包）下为单一品目的货物采购中，同一品牌同一型号产品有多家供应商参加询价的，只能按照一家供应商计算。询价时在其他条件（资格性和符合性检查、响应文件的有效性、完整性和响应程度检查）合格的前提下，选取报价最低的供应商进入评审，舍掉其他供应商。</w:t>
      </w:r>
    </w:p>
    <w:p w14:paraId="5333B6B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（二）同一项目的货物，制造商参与询价的，不得再委托其代理商参与询价，否则均为无效响应。</w:t>
      </w:r>
    </w:p>
    <w:p w14:paraId="01F593E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（三）超过响应文件截止时间递交的响应文件，恕不接收。</w:t>
      </w:r>
    </w:p>
    <w:p w14:paraId="4537BD5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（四）本招标文件在重庆理工职业学院官网发布，采购人对任何转载信息及由此产生的后果均不承担任何责任。</w:t>
      </w:r>
    </w:p>
    <w:p w14:paraId="066783D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（五）询价费用：无论询价结果如何，供应商参与本项目询价的所有费用均由供应商自行承担。</w:t>
      </w:r>
    </w:p>
    <w:p w14:paraId="4C3948F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（六）本项目不接受联合体参与报价，否则按无效处理。</w:t>
      </w:r>
    </w:p>
    <w:p w14:paraId="4CB0E34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（七）本项目不接受合同分包，否则按无效处理。</w:t>
      </w:r>
    </w:p>
    <w:p w14:paraId="2D6B9893">
      <w:pPr>
        <w:spacing w:line="360" w:lineRule="auto"/>
        <w:ind w:firstLine="480"/>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若本次询价结果超出采购人内部采购预算，采购人有权拒绝任何询价结果，并另行组织询价。</w:t>
      </w:r>
    </w:p>
    <w:p w14:paraId="390AFEF1">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七、联系方式</w:t>
      </w:r>
    </w:p>
    <w:p w14:paraId="75E3449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采购人：重庆理工职业学院</w:t>
      </w:r>
    </w:p>
    <w:p w14:paraId="2ACAEA9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联系人：张老师</w:t>
      </w:r>
    </w:p>
    <w:p w14:paraId="45964A0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  话：166 2360 4445</w:t>
      </w:r>
    </w:p>
    <w:p w14:paraId="31A361C3">
      <w:pPr>
        <w:spacing w:line="360" w:lineRule="auto"/>
        <w:ind w:firstLine="480"/>
        <w:jc w:val="both"/>
        <w:rPr>
          <w:rFonts w:hint="eastAsia" w:ascii="仿宋" w:hAnsi="仿宋" w:eastAsia="仿宋" w:cs="仿宋"/>
          <w:color w:val="auto"/>
          <w:sz w:val="24"/>
          <w:szCs w:val="24"/>
          <w:lang w:eastAsia="zh-CN"/>
        </w:rPr>
        <w:sectPr>
          <w:footerReference r:id="rId4" w:type="default"/>
          <w:footerReference r:id="rId5" w:type="even"/>
          <w:pgSz w:w="11907" w:h="16840"/>
          <w:pgMar w:top="1417" w:right="1417" w:bottom="1417" w:left="1417" w:header="0" w:footer="853" w:gutter="0"/>
          <w:pgNumType w:fmt="numberInDash"/>
          <w:cols w:space="720" w:num="1"/>
        </w:sectPr>
      </w:pPr>
      <w:r>
        <w:rPr>
          <w:rFonts w:hint="eastAsia" w:ascii="仿宋" w:hAnsi="仿宋" w:eastAsia="仿宋" w:cs="仿宋"/>
          <w:color w:val="auto"/>
          <w:sz w:val="24"/>
          <w:szCs w:val="24"/>
          <w:lang w:eastAsia="zh-CN"/>
        </w:rPr>
        <w:t>地  址：重庆市巴南区界石镇东城大道588号</w:t>
      </w:r>
    </w:p>
    <w:p w14:paraId="63EA408B">
      <w:pPr>
        <w:spacing w:line="360" w:lineRule="auto"/>
        <w:jc w:val="center"/>
        <w:rPr>
          <w:rFonts w:hint="eastAsia" w:ascii="黑体" w:hAnsi="黑体" w:eastAsia="黑体" w:cs="黑体"/>
          <w:b/>
          <w:bCs/>
          <w:color w:val="auto"/>
          <w:sz w:val="32"/>
          <w:szCs w:val="32"/>
          <w:lang w:eastAsia="zh-CN"/>
        </w:rPr>
      </w:pPr>
      <w:bookmarkStart w:id="4" w:name="bookmark3"/>
      <w:bookmarkEnd w:id="4"/>
      <w:bookmarkStart w:id="5" w:name="bookmark4"/>
      <w:bookmarkEnd w:id="5"/>
      <w:bookmarkStart w:id="6" w:name="_Toc14516"/>
      <w:bookmarkStart w:id="7" w:name="_Toc11327"/>
      <w:bookmarkStart w:id="8" w:name="_Toc65660338"/>
      <w:bookmarkStart w:id="9" w:name="_Toc1292"/>
      <w:bookmarkStart w:id="10" w:name="_Toc106034778"/>
      <w:bookmarkStart w:id="11" w:name="_Toc102227313"/>
      <w:r>
        <w:rPr>
          <w:rFonts w:hint="eastAsia" w:ascii="黑体" w:hAnsi="黑体" w:eastAsia="黑体" w:cs="黑体"/>
          <w:b/>
          <w:bCs/>
          <w:color w:val="auto"/>
          <w:sz w:val="32"/>
          <w:szCs w:val="32"/>
          <w:lang w:eastAsia="zh-CN"/>
        </w:rPr>
        <w:t>第二篇  询价项目技术需求</w:t>
      </w:r>
      <w:bookmarkEnd w:id="6"/>
      <w:bookmarkEnd w:id="7"/>
      <w:bookmarkEnd w:id="8"/>
      <w:bookmarkEnd w:id="9"/>
      <w:bookmarkEnd w:id="10"/>
    </w:p>
    <w:p w14:paraId="2CBAF202">
      <w:pPr>
        <w:spacing w:line="360" w:lineRule="auto"/>
        <w:ind w:firstLine="481"/>
        <w:jc w:val="both"/>
        <w:rPr>
          <w:rFonts w:hint="eastAsia" w:ascii="黑体" w:hAnsi="黑体" w:eastAsia="黑体" w:cs="黑体"/>
          <w:b/>
          <w:bCs/>
          <w:color w:val="auto"/>
          <w:sz w:val="24"/>
          <w:szCs w:val="24"/>
        </w:rPr>
      </w:pPr>
      <w:bookmarkStart w:id="12" w:name="_Toc65660339"/>
      <w:bookmarkStart w:id="13" w:name="_Toc26971"/>
      <w:bookmarkStart w:id="14" w:name="_Toc24129"/>
      <w:bookmarkStart w:id="15" w:name="_Toc106034779"/>
      <w:bookmarkStart w:id="16" w:name="_Toc446"/>
      <w:r>
        <w:rPr>
          <w:rFonts w:hint="eastAsia" w:ascii="黑体" w:hAnsi="黑体" w:eastAsia="黑体" w:cs="黑体"/>
          <w:b/>
          <w:bCs/>
          <w:color w:val="auto"/>
          <w:sz w:val="24"/>
          <w:szCs w:val="24"/>
        </w:rPr>
        <w:t>一、项目一览表</w:t>
      </w:r>
      <w:bookmarkEnd w:id="12"/>
      <w:bookmarkEnd w:id="13"/>
      <w:bookmarkEnd w:id="14"/>
      <w:bookmarkEnd w:id="15"/>
      <w:bookmarkEnd w:id="16"/>
    </w:p>
    <w:tbl>
      <w:tblPr>
        <w:tblStyle w:val="17"/>
        <w:tblW w:w="8491" w:type="dxa"/>
        <w:tblInd w:w="264" w:type="dxa"/>
        <w:tblLayout w:type="autofit"/>
        <w:tblCellMar>
          <w:top w:w="0" w:type="dxa"/>
          <w:left w:w="108" w:type="dxa"/>
          <w:bottom w:w="0" w:type="dxa"/>
          <w:right w:w="108" w:type="dxa"/>
        </w:tblCellMar>
      </w:tblPr>
      <w:tblGrid>
        <w:gridCol w:w="825"/>
        <w:gridCol w:w="2475"/>
        <w:gridCol w:w="1215"/>
        <w:gridCol w:w="1268"/>
        <w:gridCol w:w="2708"/>
      </w:tblGrid>
      <w:tr w14:paraId="5560F636">
        <w:tblPrEx>
          <w:tblCellMar>
            <w:top w:w="0" w:type="dxa"/>
            <w:left w:w="108" w:type="dxa"/>
            <w:bottom w:w="0" w:type="dxa"/>
            <w:right w:w="108" w:type="dxa"/>
          </w:tblCellMar>
        </w:tblPrEx>
        <w:trPr>
          <w:trHeight w:val="277" w:hRule="atLeast"/>
        </w:trPr>
        <w:tc>
          <w:tcPr>
            <w:tcW w:w="82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AE30494">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序号</w:t>
            </w:r>
          </w:p>
        </w:tc>
        <w:tc>
          <w:tcPr>
            <w:tcW w:w="24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33710B">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项目名称</w:t>
            </w:r>
          </w:p>
        </w:tc>
        <w:tc>
          <w:tcPr>
            <w:tcW w:w="121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A846D37">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计量单位</w:t>
            </w:r>
          </w:p>
        </w:tc>
        <w:tc>
          <w:tcPr>
            <w:tcW w:w="126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55EB5FE">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工程量</w:t>
            </w:r>
          </w:p>
        </w:tc>
        <w:tc>
          <w:tcPr>
            <w:tcW w:w="2708" w:type="dxa"/>
            <w:tcBorders>
              <w:top w:val="single" w:color="000000" w:sz="8" w:space="0"/>
              <w:left w:val="single" w:color="000000" w:sz="4" w:space="0"/>
              <w:bottom w:val="single" w:color="000000" w:sz="4" w:space="0"/>
              <w:right w:val="single" w:color="000000" w:sz="4" w:space="0"/>
            </w:tcBorders>
          </w:tcPr>
          <w:p w14:paraId="559408E1">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备注</w:t>
            </w:r>
          </w:p>
        </w:tc>
      </w:tr>
      <w:tr w14:paraId="4BD5188B">
        <w:tblPrEx>
          <w:tblCellMar>
            <w:top w:w="0" w:type="dxa"/>
            <w:left w:w="108" w:type="dxa"/>
            <w:bottom w:w="0" w:type="dxa"/>
            <w:right w:w="108" w:type="dxa"/>
          </w:tblCellMar>
        </w:tblPrEx>
        <w:trPr>
          <w:trHeight w:val="247" w:hRule="atLeast"/>
        </w:trPr>
        <w:tc>
          <w:tcPr>
            <w:tcW w:w="8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D25DB2">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349B">
            <w:pPr>
              <w:jc w:val="center"/>
              <w:textAlignment w:val="center"/>
              <w:rPr>
                <w:rFonts w:hint="eastAsia" w:ascii="宋体" w:hAnsi="宋体" w:eastAsia="宋体" w:cs="宋体"/>
                <w:sz w:val="20"/>
                <w:szCs w:val="20"/>
              </w:rPr>
            </w:pPr>
            <w:r>
              <w:t>4</w:t>
            </w:r>
            <w:r>
              <w:rPr>
                <w:rFonts w:hint="eastAsia" w:ascii="宋体" w:hAnsi="宋体" w:eastAsia="宋体" w:cs="宋体"/>
              </w:rPr>
              <w:t>人间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7F8">
            <w:pPr>
              <w:jc w:val="center"/>
              <w:textAlignment w:val="center"/>
              <w:rPr>
                <w:rFonts w:hint="eastAsia" w:ascii="宋体" w:hAnsi="宋体" w:eastAsia="宋体" w:cs="宋体"/>
                <w:sz w:val="20"/>
                <w:szCs w:val="20"/>
              </w:rPr>
            </w:pPr>
            <w:r>
              <w:rPr>
                <w:rFonts w:hint="eastAsia" w:ascii="宋体" w:hAnsi="宋体" w:eastAsia="宋体" w:cs="宋体"/>
              </w:rPr>
              <w:t>间</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B76A">
            <w:pPr>
              <w:jc w:val="center"/>
              <w:textAlignment w:val="center"/>
              <w:rPr>
                <w:rFonts w:hint="eastAsia" w:ascii="宋体" w:hAnsi="宋体" w:eastAsia="宋体" w:cs="宋体"/>
                <w:sz w:val="20"/>
                <w:szCs w:val="20"/>
              </w:rPr>
            </w:pPr>
            <w:r>
              <w:t>229</w:t>
            </w:r>
          </w:p>
        </w:tc>
        <w:tc>
          <w:tcPr>
            <w:tcW w:w="2708" w:type="dxa"/>
            <w:vMerge w:val="restart"/>
            <w:tcBorders>
              <w:top w:val="single" w:color="000000" w:sz="4" w:space="0"/>
              <w:left w:val="single" w:color="000000" w:sz="4" w:space="0"/>
              <w:right w:val="single" w:color="000000" w:sz="4" w:space="0"/>
            </w:tcBorders>
            <w:vAlign w:val="center"/>
          </w:tcPr>
          <w:p w14:paraId="5AD7F05B">
            <w:pPr>
              <w:jc w:val="center"/>
              <w:textAlignment w:val="center"/>
              <w:rPr>
                <w:lang w:eastAsia="zh-CN"/>
              </w:rPr>
            </w:pPr>
            <w:r>
              <w:rPr>
                <w:rFonts w:hint="eastAsia" w:asciiTheme="minorEastAsia" w:hAnsiTheme="minorEastAsia" w:eastAsiaTheme="minorEastAsia" w:cstheme="minorEastAsia"/>
                <w:color w:val="auto"/>
                <w:sz w:val="20"/>
                <w:szCs w:val="20"/>
                <w:lang w:eastAsia="zh-CN"/>
              </w:rPr>
              <w:t>装修房屋建筑竣工图、结构图见附件</w:t>
            </w:r>
          </w:p>
        </w:tc>
      </w:tr>
      <w:tr w14:paraId="4D9A888B">
        <w:tblPrEx>
          <w:tblCellMar>
            <w:top w:w="0" w:type="dxa"/>
            <w:left w:w="108" w:type="dxa"/>
            <w:bottom w:w="0" w:type="dxa"/>
            <w:right w:w="108" w:type="dxa"/>
          </w:tblCellMar>
        </w:tblPrEx>
        <w:trPr>
          <w:trHeight w:val="232" w:hRule="atLeast"/>
        </w:trPr>
        <w:tc>
          <w:tcPr>
            <w:tcW w:w="8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B7805">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2465">
            <w:pPr>
              <w:jc w:val="center"/>
              <w:textAlignment w:val="center"/>
              <w:rPr>
                <w:rFonts w:hint="eastAsia" w:ascii="宋体" w:hAnsi="宋体" w:eastAsia="宋体" w:cs="宋体"/>
                <w:sz w:val="20"/>
                <w:szCs w:val="20"/>
              </w:rPr>
            </w:pPr>
            <w:r>
              <w:t>6</w:t>
            </w:r>
            <w:r>
              <w:rPr>
                <w:rFonts w:hint="eastAsia" w:ascii="宋体" w:hAnsi="宋体" w:eastAsia="宋体" w:cs="宋体"/>
              </w:rPr>
              <w:t>人间（</w:t>
            </w:r>
            <w:r>
              <w:t>3</w:t>
            </w:r>
            <w:r>
              <w:rPr>
                <w:rFonts w:hint="eastAsia" w:ascii="宋体" w:hAnsi="宋体" w:eastAsia="宋体" w:cs="宋体"/>
              </w:rPr>
              <w:t>层）卫生间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0298">
            <w:pPr>
              <w:jc w:val="center"/>
              <w:textAlignment w:val="center"/>
              <w:rPr>
                <w:rFonts w:hint="eastAsia" w:ascii="宋体" w:hAnsi="宋体" w:eastAsia="宋体" w:cs="宋体"/>
                <w:sz w:val="20"/>
                <w:szCs w:val="20"/>
              </w:rPr>
            </w:pPr>
            <w:r>
              <w:rPr>
                <w:rFonts w:hint="eastAsia" w:ascii="宋体" w:hAnsi="宋体" w:eastAsia="宋体" w:cs="宋体"/>
              </w:rPr>
              <w:t>间</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5B23">
            <w:pPr>
              <w:jc w:val="center"/>
              <w:textAlignment w:val="center"/>
              <w:rPr>
                <w:rFonts w:hint="eastAsia" w:ascii="宋体" w:hAnsi="宋体" w:eastAsia="宋体" w:cs="宋体"/>
                <w:sz w:val="20"/>
                <w:szCs w:val="20"/>
              </w:rPr>
            </w:pPr>
            <w:r>
              <w:t>23</w:t>
            </w:r>
          </w:p>
        </w:tc>
        <w:tc>
          <w:tcPr>
            <w:tcW w:w="2708" w:type="dxa"/>
            <w:vMerge w:val="continue"/>
            <w:tcBorders>
              <w:left w:val="single" w:color="000000" w:sz="4" w:space="0"/>
              <w:right w:val="single" w:color="000000" w:sz="4" w:space="0"/>
            </w:tcBorders>
            <w:vAlign w:val="center"/>
          </w:tcPr>
          <w:p w14:paraId="320BA410">
            <w:pPr>
              <w:jc w:val="center"/>
              <w:textAlignment w:val="center"/>
            </w:pPr>
          </w:p>
        </w:tc>
      </w:tr>
      <w:tr w14:paraId="69C4865B">
        <w:tblPrEx>
          <w:tblCellMar>
            <w:top w:w="0" w:type="dxa"/>
            <w:left w:w="108" w:type="dxa"/>
            <w:bottom w:w="0" w:type="dxa"/>
            <w:right w:w="108" w:type="dxa"/>
          </w:tblCellMar>
        </w:tblPrEx>
        <w:trPr>
          <w:trHeight w:val="272" w:hRule="atLeast"/>
        </w:trPr>
        <w:tc>
          <w:tcPr>
            <w:tcW w:w="8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50B3F">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460D">
            <w:pPr>
              <w:jc w:val="center"/>
              <w:textAlignment w:val="center"/>
              <w:rPr>
                <w:rFonts w:hint="eastAsia" w:ascii="宋体" w:hAnsi="宋体" w:eastAsia="宋体" w:cs="宋体"/>
                <w:sz w:val="20"/>
                <w:szCs w:val="20"/>
              </w:rPr>
            </w:pPr>
            <w:r>
              <w:rPr>
                <w:rFonts w:hint="eastAsia" w:ascii="宋体" w:hAnsi="宋体" w:eastAsia="宋体" w:cs="宋体"/>
              </w:rPr>
              <w:t>过道</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5C94">
            <w:pPr>
              <w:jc w:val="center"/>
              <w:textAlignment w:val="center"/>
              <w:rPr>
                <w:rFonts w:hint="eastAsia" w:ascii="宋体" w:hAnsi="宋体" w:eastAsia="宋体" w:cs="宋体"/>
                <w:sz w:val="20"/>
                <w:szCs w:val="20"/>
              </w:rPr>
            </w:pPr>
            <w:r>
              <w:rPr>
                <w:rFonts w:hint="eastAsia" w:ascii="宋体" w:hAnsi="宋体" w:eastAsia="宋体" w:cs="宋体"/>
              </w:rPr>
              <w:t>层</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D59">
            <w:pPr>
              <w:jc w:val="center"/>
              <w:textAlignment w:val="center"/>
              <w:rPr>
                <w:rFonts w:hint="eastAsia" w:ascii="宋体" w:hAnsi="宋体" w:eastAsia="宋体" w:cs="宋体"/>
                <w:sz w:val="20"/>
                <w:szCs w:val="20"/>
              </w:rPr>
            </w:pPr>
            <w:r>
              <w:t>10</w:t>
            </w:r>
          </w:p>
        </w:tc>
        <w:tc>
          <w:tcPr>
            <w:tcW w:w="2708" w:type="dxa"/>
            <w:vMerge w:val="continue"/>
            <w:tcBorders>
              <w:left w:val="single" w:color="000000" w:sz="4" w:space="0"/>
              <w:bottom w:val="single" w:color="000000" w:sz="4" w:space="0"/>
              <w:right w:val="single" w:color="000000" w:sz="4" w:space="0"/>
            </w:tcBorders>
            <w:vAlign w:val="center"/>
          </w:tcPr>
          <w:p w14:paraId="72611DEA">
            <w:pPr>
              <w:jc w:val="center"/>
              <w:textAlignment w:val="center"/>
            </w:pPr>
          </w:p>
        </w:tc>
      </w:tr>
      <w:tr w14:paraId="4FBAF29F">
        <w:tblPrEx>
          <w:tblCellMar>
            <w:top w:w="0" w:type="dxa"/>
            <w:left w:w="108" w:type="dxa"/>
            <w:bottom w:w="0" w:type="dxa"/>
            <w:right w:w="108" w:type="dxa"/>
          </w:tblCellMar>
        </w:tblPrEx>
        <w:trPr>
          <w:trHeight w:val="257" w:hRule="atLeast"/>
        </w:trPr>
        <w:tc>
          <w:tcPr>
            <w:tcW w:w="8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634FFD">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6B37">
            <w:pPr>
              <w:jc w:val="center"/>
              <w:textAlignment w:val="center"/>
              <w:rPr>
                <w:rFonts w:hint="eastAsia" w:ascii="宋体" w:hAnsi="宋体" w:eastAsia="宋体" w:cs="宋体"/>
                <w:sz w:val="20"/>
                <w:szCs w:val="20"/>
              </w:rPr>
            </w:pPr>
            <w:r>
              <w:rPr>
                <w:rFonts w:hint="eastAsia" w:ascii="宋体" w:hAnsi="宋体" w:eastAsia="宋体" w:cs="宋体"/>
              </w:rPr>
              <w:t>其它土建工程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C957">
            <w:pPr>
              <w:jc w:val="center"/>
              <w:textAlignment w:val="center"/>
              <w:rPr>
                <w:rFonts w:hint="eastAsia" w:ascii="宋体" w:hAnsi="宋体" w:eastAsia="宋体" w:cs="宋体"/>
                <w:sz w:val="20"/>
                <w:szCs w:val="20"/>
              </w:rPr>
            </w:pPr>
            <w:r>
              <w:rPr>
                <w:rFonts w:hint="eastAsia" w:ascii="宋体" w:hAnsi="宋体" w:eastAsia="宋体" w:cs="宋体"/>
              </w:rPr>
              <w:t>项</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676">
            <w:pPr>
              <w:jc w:val="center"/>
              <w:textAlignment w:val="center"/>
              <w:rPr>
                <w:rFonts w:hint="eastAsia" w:ascii="宋体" w:hAnsi="宋体" w:eastAsia="宋体" w:cs="宋体"/>
                <w:sz w:val="20"/>
                <w:szCs w:val="20"/>
              </w:rPr>
            </w:pPr>
            <w:r>
              <w:t>1</w:t>
            </w:r>
          </w:p>
        </w:tc>
        <w:tc>
          <w:tcPr>
            <w:tcW w:w="2708" w:type="dxa"/>
            <w:tcBorders>
              <w:top w:val="single" w:color="000000" w:sz="4" w:space="0"/>
              <w:left w:val="single" w:color="000000" w:sz="4" w:space="0"/>
              <w:bottom w:val="single" w:color="000000" w:sz="4" w:space="0"/>
              <w:right w:val="single" w:color="000000" w:sz="4" w:space="0"/>
            </w:tcBorders>
            <w:vAlign w:val="center"/>
          </w:tcPr>
          <w:p w14:paraId="409D4818">
            <w:pPr>
              <w:jc w:val="center"/>
              <w:textAlignment w:val="center"/>
              <w:rPr>
                <w:lang w:eastAsia="zh-CN"/>
              </w:rPr>
            </w:pPr>
            <w:r>
              <w:rPr>
                <w:rFonts w:hint="eastAsia" w:ascii="宋体" w:hAnsi="宋体" w:eastAsia="宋体" w:cs="宋体"/>
                <w:sz w:val="20"/>
                <w:szCs w:val="20"/>
                <w:lang w:eastAsia="zh-CN"/>
              </w:rPr>
              <w:t>主要是偶数层隔墙改造、改门洞等零星工程</w:t>
            </w:r>
          </w:p>
        </w:tc>
      </w:tr>
    </w:tbl>
    <w:p w14:paraId="36F7799C">
      <w:pPr>
        <w:spacing w:line="360" w:lineRule="auto"/>
        <w:ind w:firstLine="481"/>
        <w:jc w:val="both"/>
        <w:rPr>
          <w:rFonts w:hint="eastAsia" w:ascii="黑体" w:hAnsi="黑体" w:eastAsia="黑体" w:cs="黑体"/>
          <w:b/>
          <w:bCs/>
          <w:color w:val="auto"/>
          <w:sz w:val="24"/>
          <w:szCs w:val="24"/>
          <w:lang w:eastAsia="zh-CN"/>
        </w:rPr>
      </w:pPr>
    </w:p>
    <w:p w14:paraId="4F01179C">
      <w:pPr>
        <w:spacing w:line="360" w:lineRule="auto"/>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 xml:space="preserve">    二、项目范围：</w:t>
      </w:r>
      <w:bookmarkStart w:id="17" w:name="_Toc28818"/>
      <w:bookmarkStart w:id="18" w:name="_Toc31751"/>
      <w:bookmarkStart w:id="19" w:name="_Toc11614"/>
    </w:p>
    <w:p w14:paraId="77F38F8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详见国际楼学生公寓3-16层装修改造工程附件，包括但不限于样板间及相关现场答疑说明、图纸、工程量清单涵盖的所有内容。</w:t>
      </w:r>
      <w:bookmarkEnd w:id="17"/>
      <w:bookmarkEnd w:id="18"/>
      <w:bookmarkEnd w:id="19"/>
    </w:p>
    <w:p w14:paraId="55D59E9B">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drawing>
          <wp:anchor distT="0" distB="0" distL="114300" distR="114300" simplePos="0" relativeHeight="251660288" behindDoc="1" locked="0" layoutInCell="1" allowOverlap="1">
            <wp:simplePos x="0" y="0"/>
            <wp:positionH relativeFrom="column">
              <wp:posOffset>3089910</wp:posOffset>
            </wp:positionH>
            <wp:positionV relativeFrom="paragraph">
              <wp:posOffset>274320</wp:posOffset>
            </wp:positionV>
            <wp:extent cx="2700020" cy="2519680"/>
            <wp:effectExtent l="0" t="0" r="43180" b="13970"/>
            <wp:wrapTight wrapText="bothSides">
              <wp:wrapPolygon>
                <wp:start x="0" y="0"/>
                <wp:lineTo x="0" y="21393"/>
                <wp:lineTo x="21488" y="21393"/>
                <wp:lineTo x="21488" y="0"/>
                <wp:lineTo x="0" y="0"/>
              </wp:wrapPolygon>
            </wp:wrapTight>
            <wp:docPr id="1" name="图片 1" descr="8de83c5a5b7d6d0d46d2ac7ba1f8419"/>
            <wp:cNvGraphicFramePr/>
            <a:graphic xmlns:a="http://schemas.openxmlformats.org/drawingml/2006/main">
              <a:graphicData uri="http://schemas.openxmlformats.org/drawingml/2006/picture">
                <pic:pic xmlns:pic="http://schemas.openxmlformats.org/drawingml/2006/picture">
                  <pic:nvPicPr>
                    <pic:cNvPr id="1" name="图片 1" descr="8de83c5a5b7d6d0d46d2ac7ba1f8419"/>
                    <pic:cNvPicPr/>
                  </pic:nvPicPr>
                  <pic:blipFill>
                    <a:blip r:embed="rId11"/>
                    <a:stretch>
                      <a:fillRect/>
                    </a:stretch>
                  </pic:blipFill>
                  <pic:spPr>
                    <a:xfrm>
                      <a:off x="0" y="0"/>
                      <a:ext cx="2700020" cy="2519680"/>
                    </a:xfrm>
                    <a:prstGeom prst="rect">
                      <a:avLst/>
                    </a:prstGeom>
                  </pic:spPr>
                </pic:pic>
              </a:graphicData>
            </a:graphic>
          </wp:anchor>
        </w:drawing>
      </w:r>
      <w:r>
        <w:rPr>
          <w:rFonts w:hint="eastAsia" w:ascii="黑体" w:hAnsi="黑体" w:eastAsia="黑体" w:cs="黑体"/>
          <w:b/>
          <w:bCs/>
          <w:color w:val="auto"/>
          <w:sz w:val="24"/>
          <w:szCs w:val="24"/>
          <w:lang w:eastAsia="zh-CN"/>
        </w:rPr>
        <w:drawing>
          <wp:anchor distT="0" distB="0" distL="114300" distR="114300" simplePos="0" relativeHeight="251659264" behindDoc="1" locked="0" layoutInCell="1" allowOverlap="1">
            <wp:simplePos x="0" y="0"/>
            <wp:positionH relativeFrom="column">
              <wp:posOffset>3810</wp:posOffset>
            </wp:positionH>
            <wp:positionV relativeFrom="paragraph">
              <wp:posOffset>274955</wp:posOffset>
            </wp:positionV>
            <wp:extent cx="2700020" cy="2520315"/>
            <wp:effectExtent l="0" t="0" r="0" b="13335"/>
            <wp:wrapTight wrapText="bothSides">
              <wp:wrapPolygon>
                <wp:start x="0" y="0"/>
                <wp:lineTo x="0" y="21388"/>
                <wp:lineTo x="21488" y="21388"/>
                <wp:lineTo x="21488" y="0"/>
                <wp:lineTo x="0" y="0"/>
              </wp:wrapPolygon>
            </wp:wrapTight>
            <wp:docPr id="2" name="图片 2" descr="d1acada37053e67c2f43534e6c4dc37"/>
            <wp:cNvGraphicFramePr/>
            <a:graphic xmlns:a="http://schemas.openxmlformats.org/drawingml/2006/main">
              <a:graphicData uri="http://schemas.openxmlformats.org/drawingml/2006/picture">
                <pic:pic xmlns:pic="http://schemas.openxmlformats.org/drawingml/2006/picture">
                  <pic:nvPicPr>
                    <pic:cNvPr id="2" name="图片 2" descr="d1acada37053e67c2f43534e6c4dc37"/>
                    <pic:cNvPicPr/>
                  </pic:nvPicPr>
                  <pic:blipFill>
                    <a:blip r:embed="rId12"/>
                    <a:stretch>
                      <a:fillRect/>
                    </a:stretch>
                  </pic:blipFill>
                  <pic:spPr>
                    <a:xfrm>
                      <a:off x="0" y="0"/>
                      <a:ext cx="2700020" cy="2520315"/>
                    </a:xfrm>
                    <a:prstGeom prst="rect">
                      <a:avLst/>
                    </a:prstGeom>
                  </pic:spPr>
                </pic:pic>
              </a:graphicData>
            </a:graphic>
          </wp:anchor>
        </w:drawing>
      </w:r>
      <w:r>
        <w:rPr>
          <w:rFonts w:hint="eastAsia" w:ascii="黑体" w:hAnsi="黑体" w:eastAsia="黑体" w:cs="黑体"/>
          <w:b/>
          <w:bCs/>
          <w:color w:val="auto"/>
          <w:sz w:val="24"/>
          <w:szCs w:val="24"/>
          <w:lang w:eastAsia="zh-CN"/>
        </w:rPr>
        <w:t>三、房间及过道效果图</w:t>
      </w:r>
    </w:p>
    <w:p w14:paraId="7F32909F">
      <w:pPr>
        <w:spacing w:line="360" w:lineRule="auto"/>
        <w:jc w:val="both"/>
        <w:rPr>
          <w:rFonts w:hint="eastAsia" w:ascii="仿宋" w:hAnsi="仿宋" w:eastAsia="仿宋" w:cs="仿宋"/>
          <w:color w:val="auto"/>
          <w:sz w:val="24"/>
          <w:szCs w:val="24"/>
          <w:lang w:eastAsia="zh-CN"/>
        </w:rPr>
      </w:pPr>
    </w:p>
    <w:p w14:paraId="51E32EAE">
      <w:pPr>
        <w:spacing w:line="360" w:lineRule="auto"/>
        <w:jc w:val="both"/>
        <w:rPr>
          <w:rFonts w:hint="eastAsia" w:ascii="仿宋" w:hAnsi="仿宋" w:eastAsia="仿宋" w:cs="仿宋"/>
          <w:color w:val="auto"/>
          <w:sz w:val="24"/>
          <w:szCs w:val="24"/>
          <w:lang w:eastAsia="zh-CN"/>
        </w:rPr>
      </w:pPr>
    </w:p>
    <w:p w14:paraId="13829A10">
      <w:pPr>
        <w:spacing w:line="360" w:lineRule="auto"/>
        <w:jc w:val="both"/>
        <w:rPr>
          <w:rFonts w:hint="eastAsia" w:ascii="仿宋" w:hAnsi="仿宋" w:eastAsia="仿宋" w:cs="仿宋"/>
          <w:color w:val="auto"/>
          <w:sz w:val="24"/>
          <w:szCs w:val="24"/>
          <w:lang w:eastAsia="zh-CN"/>
        </w:rPr>
      </w:pPr>
    </w:p>
    <w:p w14:paraId="145D0AEB">
      <w:pPr>
        <w:spacing w:line="360" w:lineRule="auto"/>
        <w:jc w:val="both"/>
        <w:rPr>
          <w:rFonts w:hint="eastAsia" w:ascii="仿宋" w:hAnsi="仿宋" w:eastAsia="仿宋" w:cs="仿宋"/>
          <w:color w:val="auto"/>
          <w:sz w:val="24"/>
          <w:szCs w:val="24"/>
          <w:lang w:eastAsia="zh-CN"/>
        </w:rPr>
      </w:pPr>
    </w:p>
    <w:p w14:paraId="50788833">
      <w:pPr>
        <w:spacing w:line="360" w:lineRule="auto"/>
        <w:jc w:val="both"/>
        <w:rPr>
          <w:rFonts w:hint="eastAsia" w:ascii="仿宋" w:hAnsi="仿宋" w:eastAsia="仿宋" w:cs="仿宋"/>
          <w:color w:val="auto"/>
          <w:sz w:val="24"/>
          <w:szCs w:val="24"/>
          <w:lang w:eastAsia="zh-CN"/>
        </w:rPr>
      </w:pPr>
    </w:p>
    <w:p w14:paraId="3B0DFA86">
      <w:pPr>
        <w:spacing w:line="360" w:lineRule="auto"/>
        <w:jc w:val="both"/>
        <w:rPr>
          <w:rFonts w:hint="eastAsia" w:ascii="仿宋" w:hAnsi="仿宋" w:eastAsia="仿宋" w:cs="仿宋"/>
          <w:color w:val="auto"/>
          <w:sz w:val="24"/>
          <w:szCs w:val="24"/>
          <w:lang w:eastAsia="zh-CN"/>
        </w:rPr>
      </w:pPr>
    </w:p>
    <w:p w14:paraId="2250B309">
      <w:pPr>
        <w:spacing w:line="360" w:lineRule="auto"/>
        <w:jc w:val="both"/>
        <w:rPr>
          <w:rFonts w:hint="eastAsia" w:ascii="仿宋" w:hAnsi="仿宋" w:eastAsia="仿宋" w:cs="仿宋"/>
          <w:color w:val="auto"/>
          <w:sz w:val="24"/>
          <w:szCs w:val="24"/>
          <w:lang w:eastAsia="zh-CN"/>
        </w:rPr>
      </w:pPr>
    </w:p>
    <w:p w14:paraId="0CF11745">
      <w:pPr>
        <w:spacing w:line="360" w:lineRule="auto"/>
        <w:jc w:val="both"/>
        <w:rPr>
          <w:rFonts w:hint="eastAsia" w:ascii="仿宋" w:hAnsi="仿宋" w:eastAsia="仿宋" w:cs="仿宋"/>
          <w:color w:val="auto"/>
          <w:sz w:val="24"/>
          <w:szCs w:val="24"/>
          <w:lang w:eastAsia="zh-CN"/>
        </w:rPr>
      </w:pPr>
    </w:p>
    <w:p w14:paraId="181671FC">
      <w:pPr>
        <w:spacing w:line="360" w:lineRule="auto"/>
        <w:jc w:val="both"/>
        <w:rPr>
          <w:rFonts w:hint="eastAsia" w:ascii="仿宋" w:hAnsi="仿宋" w:eastAsia="仿宋" w:cs="仿宋"/>
          <w:color w:val="auto"/>
          <w:sz w:val="24"/>
          <w:szCs w:val="24"/>
          <w:lang w:eastAsia="zh-CN"/>
        </w:rPr>
      </w:pPr>
    </w:p>
    <w:p w14:paraId="301F81B3">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drawing>
          <wp:anchor distT="0" distB="0" distL="114300" distR="114300" simplePos="0" relativeHeight="251662336" behindDoc="1" locked="0" layoutInCell="1" allowOverlap="1">
            <wp:simplePos x="0" y="0"/>
            <wp:positionH relativeFrom="column">
              <wp:posOffset>3068320</wp:posOffset>
            </wp:positionH>
            <wp:positionV relativeFrom="paragraph">
              <wp:posOffset>160020</wp:posOffset>
            </wp:positionV>
            <wp:extent cx="2700020" cy="2520315"/>
            <wp:effectExtent l="0" t="0" r="62230" b="13335"/>
            <wp:wrapTight wrapText="bothSides">
              <wp:wrapPolygon>
                <wp:start x="0" y="0"/>
                <wp:lineTo x="0" y="21388"/>
                <wp:lineTo x="21488" y="21388"/>
                <wp:lineTo x="21488" y="0"/>
                <wp:lineTo x="0" y="0"/>
              </wp:wrapPolygon>
            </wp:wrapTight>
            <wp:docPr id="4" name="图片 4" descr="9fde54b599cad236d3f9eee8b25fc34"/>
            <wp:cNvGraphicFramePr/>
            <a:graphic xmlns:a="http://schemas.openxmlformats.org/drawingml/2006/main">
              <a:graphicData uri="http://schemas.openxmlformats.org/drawingml/2006/picture">
                <pic:pic xmlns:pic="http://schemas.openxmlformats.org/drawingml/2006/picture">
                  <pic:nvPicPr>
                    <pic:cNvPr id="4" name="图片 4" descr="9fde54b599cad236d3f9eee8b25fc34"/>
                    <pic:cNvPicPr/>
                  </pic:nvPicPr>
                  <pic:blipFill>
                    <a:blip r:embed="rId13"/>
                    <a:stretch>
                      <a:fillRect/>
                    </a:stretch>
                  </pic:blipFill>
                  <pic:spPr>
                    <a:xfrm>
                      <a:off x="0" y="0"/>
                      <a:ext cx="2700020" cy="2520315"/>
                    </a:xfrm>
                    <a:prstGeom prst="rect">
                      <a:avLst/>
                    </a:prstGeom>
                  </pic:spPr>
                </pic:pic>
              </a:graphicData>
            </a:graphic>
          </wp:anchor>
        </w:drawing>
      </w:r>
      <w:r>
        <w:rPr>
          <w:rFonts w:hint="eastAsia" w:ascii="黑体" w:hAnsi="黑体" w:eastAsia="黑体" w:cs="黑体"/>
          <w:b/>
          <w:bCs/>
          <w:color w:val="auto"/>
          <w:sz w:val="24"/>
          <w:szCs w:val="24"/>
          <w:lang w:eastAsia="zh-CN"/>
        </w:rPr>
        <w:drawing>
          <wp:anchor distT="0" distB="0" distL="114300" distR="114300" simplePos="0" relativeHeight="251661312" behindDoc="1" locked="0" layoutInCell="1" allowOverlap="1">
            <wp:simplePos x="0" y="0"/>
            <wp:positionH relativeFrom="margin">
              <wp:posOffset>-38735</wp:posOffset>
            </wp:positionH>
            <wp:positionV relativeFrom="paragraph">
              <wp:posOffset>161290</wp:posOffset>
            </wp:positionV>
            <wp:extent cx="2729865" cy="2520315"/>
            <wp:effectExtent l="0" t="0" r="0" b="0"/>
            <wp:wrapTight wrapText="bothSides">
              <wp:wrapPolygon>
                <wp:start x="0" y="0"/>
                <wp:lineTo x="0" y="21388"/>
                <wp:lineTo x="21404" y="21388"/>
                <wp:lineTo x="21404" y="0"/>
                <wp:lineTo x="0" y="0"/>
              </wp:wrapPolygon>
            </wp:wrapTight>
            <wp:docPr id="3" name="图片 3" descr="fb165fcf1dcbc601a08b6865fa2e11b"/>
            <wp:cNvGraphicFramePr/>
            <a:graphic xmlns:a="http://schemas.openxmlformats.org/drawingml/2006/main">
              <a:graphicData uri="http://schemas.openxmlformats.org/drawingml/2006/picture">
                <pic:pic xmlns:pic="http://schemas.openxmlformats.org/drawingml/2006/picture">
                  <pic:nvPicPr>
                    <pic:cNvPr id="3" name="图片 3" descr="fb165fcf1dcbc601a08b6865fa2e11b"/>
                    <pic:cNvPicPr/>
                  </pic:nvPicPr>
                  <pic:blipFill>
                    <a:blip r:embed="rId14"/>
                    <a:stretch>
                      <a:fillRect/>
                    </a:stretch>
                  </pic:blipFill>
                  <pic:spPr>
                    <a:xfrm>
                      <a:off x="0" y="0"/>
                      <a:ext cx="2729865" cy="2520315"/>
                    </a:xfrm>
                    <a:prstGeom prst="rect">
                      <a:avLst/>
                    </a:prstGeom>
                  </pic:spPr>
                </pic:pic>
              </a:graphicData>
            </a:graphic>
          </wp:anchor>
        </w:drawing>
      </w:r>
    </w:p>
    <w:p w14:paraId="43BF8FDC">
      <w:pPr>
        <w:spacing w:line="360" w:lineRule="auto"/>
        <w:jc w:val="both"/>
        <w:rPr>
          <w:rFonts w:hint="eastAsia" w:ascii="仿宋" w:hAnsi="仿宋" w:eastAsia="仿宋" w:cs="仿宋"/>
          <w:color w:val="auto"/>
          <w:sz w:val="24"/>
          <w:szCs w:val="24"/>
          <w:lang w:eastAsia="zh-CN"/>
        </w:rPr>
      </w:pPr>
    </w:p>
    <w:p w14:paraId="422ACDB9">
      <w:pPr>
        <w:spacing w:line="360" w:lineRule="auto"/>
        <w:jc w:val="both"/>
        <w:rPr>
          <w:rFonts w:hint="eastAsia" w:ascii="仿宋" w:hAnsi="仿宋" w:eastAsia="仿宋" w:cs="仿宋"/>
          <w:color w:val="auto"/>
          <w:sz w:val="24"/>
          <w:szCs w:val="24"/>
          <w:lang w:eastAsia="zh-CN"/>
        </w:rPr>
      </w:pPr>
    </w:p>
    <w:p w14:paraId="0C507D17">
      <w:pPr>
        <w:spacing w:line="360" w:lineRule="auto"/>
        <w:jc w:val="both"/>
        <w:rPr>
          <w:rFonts w:hint="eastAsia" w:ascii="仿宋" w:hAnsi="仿宋" w:eastAsia="仿宋" w:cs="仿宋"/>
          <w:color w:val="auto"/>
          <w:sz w:val="24"/>
          <w:szCs w:val="24"/>
          <w:lang w:eastAsia="zh-CN"/>
        </w:rPr>
      </w:pPr>
    </w:p>
    <w:p w14:paraId="6C2D3BD5">
      <w:pPr>
        <w:spacing w:line="360" w:lineRule="auto"/>
        <w:jc w:val="both"/>
        <w:rPr>
          <w:rFonts w:hint="eastAsia" w:ascii="仿宋" w:hAnsi="仿宋" w:eastAsia="仿宋" w:cs="仿宋"/>
          <w:color w:val="auto"/>
          <w:sz w:val="24"/>
          <w:szCs w:val="24"/>
          <w:lang w:eastAsia="zh-CN"/>
        </w:rPr>
      </w:pPr>
    </w:p>
    <w:p w14:paraId="23EEBF25">
      <w:pPr>
        <w:spacing w:line="360" w:lineRule="auto"/>
        <w:ind w:firstLine="480"/>
        <w:jc w:val="both"/>
        <w:rPr>
          <w:rFonts w:hint="eastAsia" w:ascii="黑体" w:hAnsi="黑体" w:eastAsia="黑体" w:cs="黑体"/>
          <w:b/>
          <w:bCs/>
          <w:color w:val="auto"/>
          <w:sz w:val="24"/>
          <w:szCs w:val="24"/>
          <w:lang w:eastAsia="zh-CN"/>
        </w:rPr>
      </w:pPr>
    </w:p>
    <w:p w14:paraId="79066FD3">
      <w:pP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br w:type="page"/>
      </w:r>
    </w:p>
    <w:p w14:paraId="42CEC487">
      <w:pPr>
        <w:spacing w:line="360" w:lineRule="auto"/>
        <w:ind w:firstLine="480"/>
        <w:jc w:val="both"/>
        <w:rPr>
          <w:rFonts w:hint="eastAsia" w:ascii="黑体" w:hAnsi="黑体" w:eastAsia="黑体" w:cs="黑体"/>
          <w:b/>
          <w:bCs/>
          <w:color w:val="auto"/>
          <w:sz w:val="24"/>
          <w:szCs w:val="24"/>
          <w:lang w:eastAsia="zh-CN"/>
        </w:rPr>
      </w:pPr>
      <w:r>
        <w:rPr>
          <w:rFonts w:hint="eastAsia" w:ascii="仿宋" w:hAnsi="仿宋" w:eastAsia="仿宋" w:cs="仿宋"/>
          <w:color w:val="auto"/>
          <w:sz w:val="24"/>
          <w:szCs w:val="24"/>
          <w:lang w:eastAsia="zh-CN"/>
        </w:rPr>
        <w:drawing>
          <wp:anchor distT="0" distB="0" distL="114300" distR="114300" simplePos="0" relativeHeight="251664384" behindDoc="0" locked="0" layoutInCell="1" allowOverlap="1">
            <wp:simplePos x="0" y="0"/>
            <wp:positionH relativeFrom="margin">
              <wp:posOffset>280035</wp:posOffset>
            </wp:positionH>
            <wp:positionV relativeFrom="paragraph">
              <wp:posOffset>230505</wp:posOffset>
            </wp:positionV>
            <wp:extent cx="5490210" cy="3756660"/>
            <wp:effectExtent l="0" t="0" r="15240" b="15240"/>
            <wp:wrapTopAndBottom/>
            <wp:docPr id="5" name="图片 5" descr="6a742e379ad1b1e67741cce69d97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a742e379ad1b1e67741cce69d977e5"/>
                    <pic:cNvPicPr>
                      <a:picLocks noChangeAspect="1"/>
                    </pic:cNvPicPr>
                  </pic:nvPicPr>
                  <pic:blipFill>
                    <a:blip r:embed="rId15"/>
                    <a:stretch>
                      <a:fillRect/>
                    </a:stretch>
                  </pic:blipFill>
                  <pic:spPr>
                    <a:xfrm>
                      <a:off x="0" y="0"/>
                      <a:ext cx="5490210" cy="3756660"/>
                    </a:xfrm>
                    <a:prstGeom prst="rect">
                      <a:avLst/>
                    </a:prstGeom>
                  </pic:spPr>
                </pic:pic>
              </a:graphicData>
            </a:graphic>
          </wp:anchor>
        </w:drawing>
      </w:r>
    </w:p>
    <w:p w14:paraId="1E5D4E72">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四、安全要求</w:t>
      </w:r>
    </w:p>
    <w:p w14:paraId="7C972CD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遵守安全生产的有关管理规定，严格按照安全标准组织实施，采取必要的安全防护措施，消除隐患。在实施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实施导致第三人人身、财产损失由供应商承担赔偿责任，供应商应提供安全要求承诺函（格式自拟），如未提供，视为无效响应。</w:t>
      </w:r>
    </w:p>
    <w:p w14:paraId="4E9F8A72">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五、踏勘现场和答疑</w:t>
      </w:r>
    </w:p>
    <w:p w14:paraId="598F118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（一）集中组织现场踏勘和举行答疑会</w:t>
      </w:r>
    </w:p>
    <w:p w14:paraId="60A13BC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1.踏勘现场时间：2025年6月30日上午9：00-10：50，地点：重庆理工职业学院国际楼。</w:t>
      </w:r>
    </w:p>
    <w:p w14:paraId="247EBD7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2.答疑会时间：2025年6月30日上午11：00，地点：重庆理工职业学院行政楼底楼第二会议室。</w:t>
      </w:r>
    </w:p>
    <w:p w14:paraId="2D379AA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（二）供应商踏勘现场和参加答疑会发生的费用自理。</w:t>
      </w:r>
    </w:p>
    <w:p w14:paraId="4935E93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（三）除采购人原因外，供应商自行负责在踏勘现场所发生的安全责任和财产损失。</w:t>
      </w:r>
    </w:p>
    <w:p w14:paraId="3441B5C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（四）采购人在踏勘现场中介绍的工程场地和相关的周边环境情况，仅供供应商在编制响应文件时参考，采购人不对供应商据此做出的判断和决策负责。</w:t>
      </w:r>
    </w:p>
    <w:p w14:paraId="57E8883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（五）供应商参加踏勘过现场，均被认为在递交响应文件之前已对本项目的风险和义务已经十分了解，并在其响应文件中已充分考虑了现场和环境条件。</w:t>
      </w:r>
    </w:p>
    <w:p w14:paraId="0EBE5A6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踏勘现场联系人：高老师，电话：189 8329 2559。</w:t>
      </w:r>
      <w:bookmarkStart w:id="20" w:name="_Toc15492"/>
      <w:bookmarkStart w:id="21" w:name="_Toc523"/>
      <w:bookmarkStart w:id="22" w:name="_Toc65660341"/>
      <w:bookmarkStart w:id="23" w:name="_Toc13356"/>
      <w:bookmarkStart w:id="24" w:name="_Toc106034781"/>
    </w:p>
    <w:p w14:paraId="37A00D7F">
      <w:pPr>
        <w:spacing w:line="360" w:lineRule="auto"/>
        <w:jc w:val="center"/>
        <w:rPr>
          <w:rFonts w:hint="eastAsia" w:ascii="黑体" w:hAnsi="黑体" w:eastAsia="黑体" w:cs="黑体"/>
          <w:b/>
          <w:bCs/>
          <w:color w:val="auto"/>
          <w:sz w:val="32"/>
          <w:szCs w:val="32"/>
          <w:lang w:eastAsia="zh-CN"/>
        </w:rPr>
      </w:pPr>
    </w:p>
    <w:p w14:paraId="12328B52">
      <w:pPr>
        <w:spacing w:line="360" w:lineRule="auto"/>
        <w:jc w:val="center"/>
        <w:rPr>
          <w:rFonts w:hint="eastAsia" w:ascii="黑体" w:hAnsi="黑体" w:eastAsia="黑体" w:cs="黑体"/>
          <w:b/>
          <w:bCs/>
          <w:color w:val="auto"/>
          <w:sz w:val="32"/>
          <w:szCs w:val="32"/>
          <w:lang w:eastAsia="zh-CN"/>
        </w:rPr>
      </w:pPr>
    </w:p>
    <w:p w14:paraId="38177586">
      <w:pPr>
        <w:spacing w:line="360" w:lineRule="auto"/>
        <w:jc w:val="center"/>
        <w:rPr>
          <w:rFonts w:hint="eastAsia" w:ascii="黑体" w:hAnsi="黑体" w:eastAsia="黑体" w:cs="黑体"/>
          <w:b/>
          <w:bCs/>
          <w:color w:val="auto"/>
          <w:sz w:val="32"/>
          <w:szCs w:val="32"/>
          <w:lang w:eastAsia="zh-CN"/>
        </w:rPr>
      </w:pPr>
    </w:p>
    <w:p w14:paraId="77045A03">
      <w:pPr>
        <w:spacing w:line="360" w:lineRule="auto"/>
        <w:jc w:val="center"/>
        <w:rPr>
          <w:rFonts w:hint="eastAsia" w:ascii="黑体" w:hAnsi="黑体" w:eastAsia="黑体" w:cs="黑体"/>
          <w:b/>
          <w:bCs/>
          <w:color w:val="auto"/>
          <w:sz w:val="32"/>
          <w:szCs w:val="32"/>
          <w:lang w:eastAsia="zh-CN"/>
        </w:rPr>
      </w:pPr>
    </w:p>
    <w:p w14:paraId="7CFE181A">
      <w:pPr>
        <w:spacing w:line="360" w:lineRule="auto"/>
        <w:jc w:val="center"/>
        <w:rPr>
          <w:rFonts w:hint="eastAsia" w:ascii="黑体" w:hAnsi="黑体" w:eastAsia="黑体" w:cs="黑体"/>
          <w:b/>
          <w:bCs/>
          <w:color w:val="auto"/>
          <w:sz w:val="32"/>
          <w:szCs w:val="32"/>
          <w:lang w:eastAsia="zh-CN"/>
        </w:rPr>
      </w:pPr>
    </w:p>
    <w:p w14:paraId="0C7C8A31">
      <w:pPr>
        <w:kinsoku/>
        <w:autoSpaceDE/>
        <w:autoSpaceDN/>
        <w:adjustRightInd/>
        <w:snapToGrid/>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br w:type="page"/>
      </w:r>
    </w:p>
    <w:p w14:paraId="41917030">
      <w:pPr>
        <w:spacing w:line="360" w:lineRule="auto"/>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 xml:space="preserve">第三篇  </w:t>
      </w:r>
      <w:bookmarkEnd w:id="11"/>
      <w:r>
        <w:rPr>
          <w:rFonts w:hint="eastAsia" w:ascii="黑体" w:hAnsi="黑体" w:eastAsia="黑体" w:cs="黑体"/>
          <w:b/>
          <w:bCs/>
          <w:color w:val="auto"/>
          <w:sz w:val="32"/>
          <w:szCs w:val="32"/>
          <w:lang w:eastAsia="zh-CN"/>
        </w:rPr>
        <w:t>询价项目服务</w:t>
      </w:r>
      <w:bookmarkEnd w:id="20"/>
      <w:bookmarkEnd w:id="21"/>
      <w:bookmarkEnd w:id="22"/>
      <w:bookmarkEnd w:id="23"/>
      <w:r>
        <w:rPr>
          <w:rFonts w:hint="eastAsia" w:ascii="黑体" w:hAnsi="黑体" w:eastAsia="黑体" w:cs="黑体"/>
          <w:b/>
          <w:bCs/>
          <w:color w:val="auto"/>
          <w:sz w:val="32"/>
          <w:szCs w:val="32"/>
          <w:lang w:eastAsia="zh-CN"/>
        </w:rPr>
        <w:t>需求</w:t>
      </w:r>
      <w:bookmarkEnd w:id="24"/>
    </w:p>
    <w:p w14:paraId="0389B7AF">
      <w:pPr>
        <w:spacing w:line="360" w:lineRule="auto"/>
        <w:ind w:firstLine="480"/>
        <w:jc w:val="both"/>
        <w:rPr>
          <w:rFonts w:hint="eastAsia" w:ascii="黑体" w:hAnsi="黑体" w:eastAsia="黑体" w:cs="黑体"/>
          <w:b/>
          <w:bCs/>
          <w:color w:val="auto"/>
          <w:sz w:val="24"/>
          <w:szCs w:val="24"/>
          <w:lang w:eastAsia="zh-CN"/>
        </w:rPr>
      </w:pPr>
      <w:bookmarkStart w:id="25" w:name="_Toc30118"/>
      <w:bookmarkStart w:id="26" w:name="_Toc13728"/>
      <w:bookmarkStart w:id="27" w:name="_Toc8752"/>
      <w:bookmarkStart w:id="28" w:name="_Toc28521"/>
      <w:bookmarkStart w:id="29" w:name="_Toc6595"/>
      <w:bookmarkStart w:id="30" w:name="_Toc106030385"/>
      <w:bookmarkStart w:id="31" w:name="_Toc23501"/>
      <w:bookmarkStart w:id="32" w:name="_Toc11380"/>
      <w:bookmarkStart w:id="33" w:name="_Toc9676"/>
      <w:bookmarkStart w:id="34" w:name="_Toc14029"/>
      <w:bookmarkStart w:id="35" w:name="_Toc21429"/>
      <w:bookmarkStart w:id="36" w:name="_Toc10039"/>
      <w:bookmarkStart w:id="37" w:name="_Toc22944"/>
      <w:bookmarkStart w:id="38" w:name="_Toc13389"/>
      <w:bookmarkStart w:id="39" w:name="_Toc75793509"/>
      <w:bookmarkStart w:id="40" w:name="_Toc12768"/>
      <w:bookmarkStart w:id="41" w:name="_Toc3031"/>
      <w:bookmarkStart w:id="42" w:name="_Toc12769"/>
      <w:bookmarkStart w:id="43" w:name="_Toc25477"/>
      <w:bookmarkStart w:id="44" w:name="_Toc4030"/>
      <w:r>
        <w:rPr>
          <w:rFonts w:hint="eastAsia" w:ascii="黑体" w:hAnsi="黑体" w:eastAsia="黑体" w:cs="黑体"/>
          <w:b/>
          <w:bCs/>
          <w:color w:val="auto"/>
          <w:sz w:val="24"/>
          <w:szCs w:val="24"/>
          <w:lang w:eastAsia="zh-CN"/>
        </w:rPr>
        <w:t>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ascii="黑体" w:hAnsi="黑体" w:eastAsia="黑体" w:cs="黑体"/>
          <w:b/>
          <w:bCs/>
          <w:color w:val="auto"/>
          <w:sz w:val="24"/>
          <w:szCs w:val="24"/>
          <w:lang w:eastAsia="zh-CN"/>
        </w:rPr>
        <w:t>工期、地点及验收方式</w:t>
      </w:r>
      <w:bookmarkEnd w:id="41"/>
      <w:bookmarkEnd w:id="42"/>
      <w:bookmarkEnd w:id="43"/>
      <w:bookmarkEnd w:id="44"/>
    </w:p>
    <w:p w14:paraId="55586AA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（一）工期：最迟全面完工时间为2025年8月25日。</w:t>
      </w:r>
    </w:p>
    <w:p w14:paraId="3C0127D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（二）建设地点：重庆理工职业学院校内国际楼。</w:t>
      </w:r>
    </w:p>
    <w:p w14:paraId="1363524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（三）验收方式：</w:t>
      </w:r>
    </w:p>
    <w:p w14:paraId="645762F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1.供应商必须满足采购人使用需求，并满足行业相关验收标准。</w:t>
      </w:r>
    </w:p>
    <w:p w14:paraId="077BEE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2.如验收未达到合格标准，由成交供应商限期自行进行整改直至合格，整改发生的一切费用由成交供应商承担。</w:t>
      </w:r>
      <w:bookmarkStart w:id="45" w:name="_Toc8103"/>
      <w:bookmarkStart w:id="46" w:name="_Toc24110"/>
      <w:bookmarkStart w:id="47" w:name="_Toc1838"/>
      <w:bookmarkStart w:id="48" w:name="_Toc106034783"/>
      <w:bookmarkStart w:id="49" w:name="_Toc65660343"/>
    </w:p>
    <w:p w14:paraId="386EFAC4">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二、质</w:t>
      </w:r>
      <w:bookmarkEnd w:id="45"/>
      <w:bookmarkEnd w:id="46"/>
      <w:bookmarkEnd w:id="47"/>
      <w:bookmarkEnd w:id="48"/>
      <w:bookmarkEnd w:id="49"/>
      <w:r>
        <w:rPr>
          <w:rFonts w:hint="eastAsia" w:ascii="黑体" w:hAnsi="黑体" w:eastAsia="黑体" w:cs="黑体"/>
          <w:b/>
          <w:bCs/>
          <w:color w:val="auto"/>
          <w:sz w:val="24"/>
          <w:szCs w:val="24"/>
          <w:lang w:eastAsia="zh-CN"/>
        </w:rPr>
        <w:t>保期及保修责任</w:t>
      </w:r>
      <w:bookmarkStart w:id="50" w:name="_Toc12184"/>
      <w:bookmarkStart w:id="51" w:name="_Toc122"/>
      <w:bookmarkStart w:id="52" w:name="_Toc16974"/>
      <w:bookmarkStart w:id="53" w:name="_Toc106034784"/>
      <w:bookmarkStart w:id="54" w:name="_Toc65660344"/>
    </w:p>
    <w:p w14:paraId="149706E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（一）质保期根据《建设工程质量管理条例》及有关规定，约定本工程的质量保修期如下：</w:t>
      </w:r>
    </w:p>
    <w:p w14:paraId="00F15DC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1.质量保修期从工程验收合格交付使用之日起计算。</w:t>
      </w:r>
    </w:p>
    <w:p w14:paraId="46A7978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2.基础装修工程为设计文件规定的该工程合理使用年限。</w:t>
      </w:r>
    </w:p>
    <w:p w14:paraId="266CCFA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3.有防水要求的卫生间、房间等其他工程的防渗漏为5年。</w:t>
      </w:r>
    </w:p>
    <w:p w14:paraId="376785D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4.电气及管线、给排水管道和装修工程为2年。</w:t>
      </w:r>
    </w:p>
    <w:p w14:paraId="1986AE8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5.定型设备、电气设备、静止设备安装保修期为2年。</w:t>
      </w:r>
    </w:p>
    <w:p w14:paraId="5EE30D1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6.电气、桥架、支托架等安装保修期为2年。</w:t>
      </w:r>
    </w:p>
    <w:p w14:paraId="477A429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（二）保修责任</w:t>
      </w:r>
    </w:p>
    <w:p w14:paraId="385856E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1.属于保修范围、内容的工程，成交供应商应当在接到保修通知之日起24小时内给予答复，48小时内派人保修。成交供应商不在约定期限内派人保修的，采购人有权委托他人修理，费用由成交供应商支付。</w:t>
      </w:r>
    </w:p>
    <w:p w14:paraId="300B4F9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2.发生紧急抢修事故，成交供应商在接到事故通知后，应当立即到达事故现场抢修或委托他人修理。</w:t>
      </w:r>
    </w:p>
    <w:p w14:paraId="3CF8FBA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3.对于涉及结构安全的质量问题，应当按照《房屋建筑工程质量保修办法》的规定，立即向采购人报告，采取安全防范措施；由原设计单位或者具有相应资质等级的设计单位提出保修方案，成交供应商实施保修。</w:t>
      </w:r>
    </w:p>
    <w:p w14:paraId="36DAADB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4.在国家规定的工程合理使用期限内，承包日内应确保其质量。因成交供应商原因致使工程在合理使用期限内造成人身和财产损害，成交供应商应承担赔偿责任。</w:t>
      </w:r>
    </w:p>
    <w:p w14:paraId="7E4788A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5.质保期满后，由业主及采购人组织验收。</w:t>
      </w:r>
    </w:p>
    <w:p w14:paraId="1952E8A2">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三、项目人员要求</w:t>
      </w:r>
    </w:p>
    <w:p w14:paraId="1CB34088">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供应商拟派的项目人员须符合国家或行业相关要求（供应商出具承诺并加盖公章）。</w:t>
      </w:r>
    </w:p>
    <w:p w14:paraId="23BF654B">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四、报价要求</w:t>
      </w:r>
      <w:bookmarkEnd w:id="50"/>
      <w:bookmarkEnd w:id="51"/>
      <w:bookmarkEnd w:id="52"/>
      <w:bookmarkEnd w:id="53"/>
      <w:bookmarkEnd w:id="54"/>
      <w:r>
        <w:rPr>
          <w:rFonts w:hint="eastAsia" w:ascii="黑体" w:hAnsi="黑体" w:eastAsia="黑体" w:cs="黑体"/>
          <w:b/>
          <w:bCs/>
          <w:color w:val="auto"/>
          <w:sz w:val="24"/>
          <w:szCs w:val="24"/>
          <w:lang w:eastAsia="zh-CN"/>
        </w:rPr>
        <w:t>及结算</w:t>
      </w:r>
    </w:p>
    <w:p w14:paraId="009DB77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本次报价为人民币报价。报价应包括并不仅限于工程量计价清单，清单项目实行按每间房屋（公区按每层楼）综合总价包干，清单综合包干单价包括但不限于人工费、机械费、材料费、措施费、管理费、利润、协调费、赶工费、洞口修补费、管线切缝开槽修补费（含其他专业分包）、配合费、资料档案费、</w:t>
      </w:r>
      <w:r>
        <w:rPr>
          <w:rFonts w:hint="eastAsia" w:ascii="仿宋" w:hAnsi="仿宋" w:eastAsia="仿宋" w:cs="仿宋"/>
          <w:color w:val="auto"/>
          <w:sz w:val="24"/>
          <w:szCs w:val="24"/>
          <w:lang w:eastAsia="zh-Hans"/>
        </w:rPr>
        <w:t>除渣费（含单面3km运距）、</w:t>
      </w:r>
      <w:r>
        <w:rPr>
          <w:rFonts w:hint="eastAsia" w:ascii="仿宋" w:hAnsi="仿宋" w:eastAsia="仿宋" w:cs="仿宋"/>
          <w:color w:val="auto"/>
          <w:sz w:val="24"/>
          <w:szCs w:val="24"/>
          <w:lang w:eastAsia="zh-CN"/>
        </w:rPr>
        <w:t>停窝工损失费、各类市场风险及其他应由供应商承担的所有费用。清单综合包干单价不因工资、物价、税率或汇率变动、保险政策变动或任何调价文件之要求而调整。工程量计价清单中的技术规格描述与施工设计图纸中要求不一致的，则视为清单综合包干单价为已综合考虑施工设计图纸要求的单价。因成交供应商自身原因造成漏报、少报皆由其自行承担责任，采购人不再补偿。</w:t>
      </w:r>
    </w:p>
    <w:p w14:paraId="3D93A26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（二）本工程的工程量清单计价规则执行GB50500-2013《建设工程工程量清单计价规范》。</w:t>
      </w:r>
    </w:p>
    <w:p w14:paraId="63C9106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（三）本项目原则不产生计时工。</w:t>
      </w:r>
    </w:p>
    <w:p w14:paraId="3387D27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（四）本工程的临时用水和用电由成交供应商负责，采购人将按工程造价的0.5%在工程结算款中扣除；住宿由采购人有偿提供，住宿内的水电费由成交供应商自理。</w:t>
      </w:r>
    </w:p>
    <w:p w14:paraId="7CA28AF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工程价款采用房间固定综合单价和工程量据实结算方式确定。因成交供应商自身原因造成漏报、少报皆由其自行承担责任，采购人不再补偿。采购人提供的工程量均为预估量，供应商须结合项目要求及现场踏勘等情况进行报价。</w:t>
      </w:r>
      <w:bookmarkStart w:id="55" w:name="_Toc65660345"/>
      <w:bookmarkStart w:id="56" w:name="_Toc9192"/>
      <w:bookmarkStart w:id="57" w:name="_Toc106034785"/>
      <w:bookmarkStart w:id="58" w:name="_Toc11000"/>
      <w:bookmarkStart w:id="59" w:name="_Toc7562"/>
    </w:p>
    <w:p w14:paraId="02B99D6B">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五、付款方式</w:t>
      </w:r>
      <w:bookmarkEnd w:id="55"/>
      <w:bookmarkEnd w:id="56"/>
      <w:bookmarkEnd w:id="57"/>
      <w:bookmarkEnd w:id="58"/>
      <w:bookmarkEnd w:id="59"/>
    </w:p>
    <w:p w14:paraId="25D8BF3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（一）合同签订时成交供应商向采购人缴纳履约保证金100,000.00元，签定合同时支付，此履约保证金在竣工验收合格后10日内甲方无息返还。</w:t>
      </w:r>
    </w:p>
    <w:p w14:paraId="072C039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（二）工程款支付：本工程无预付款，本工程工程款分两次进行支付。</w:t>
      </w:r>
    </w:p>
    <w:p w14:paraId="0DB4449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工程款第一次支付：工程款第一次支付：整个工程全部按合同约定全部完工后，经甲方组织相关人员进行现场查验，符合合同约定及行业验收标准，乙方提供相应的自查报告及整改计划（针对查验中发现的小问题）。甲方在确认后在</w:t>
      </w:r>
      <w:r>
        <w:rPr>
          <w:rFonts w:ascii="仿宋" w:hAnsi="仿宋" w:eastAsia="仿宋" w:cs="仿宋"/>
          <w:color w:val="auto"/>
          <w:sz w:val="24"/>
          <w:szCs w:val="24"/>
          <w:lang w:eastAsia="zh-CN"/>
        </w:rPr>
        <w:t>2025</w:t>
      </w:r>
      <w:r>
        <w:rPr>
          <w:rFonts w:hint="eastAsia" w:ascii="仿宋" w:hAnsi="仿宋" w:eastAsia="仿宋" w:cs="仿宋"/>
          <w:color w:val="auto"/>
          <w:sz w:val="24"/>
          <w:szCs w:val="24"/>
          <w:lang w:eastAsia="zh-CN"/>
        </w:rPr>
        <w:t>年</w:t>
      </w:r>
      <w:r>
        <w:rPr>
          <w:rFonts w:ascii="仿宋" w:hAnsi="仿宋" w:eastAsia="仿宋" w:cs="仿宋"/>
          <w:color w:val="auto"/>
          <w:sz w:val="24"/>
          <w:szCs w:val="24"/>
          <w:lang w:eastAsia="zh-CN"/>
        </w:rPr>
        <w:t>9</w:t>
      </w:r>
      <w:r>
        <w:rPr>
          <w:rFonts w:hint="eastAsia" w:ascii="仿宋" w:hAnsi="仿宋" w:eastAsia="仿宋" w:cs="仿宋"/>
          <w:color w:val="auto"/>
          <w:sz w:val="24"/>
          <w:szCs w:val="24"/>
          <w:lang w:eastAsia="zh-CN"/>
        </w:rPr>
        <w:t>月</w:t>
      </w:r>
      <w:r>
        <w:rPr>
          <w:rFonts w:ascii="仿宋" w:hAnsi="仿宋" w:eastAsia="仿宋" w:cs="仿宋"/>
          <w:color w:val="auto"/>
          <w:sz w:val="24"/>
          <w:szCs w:val="24"/>
          <w:lang w:eastAsia="zh-CN"/>
        </w:rPr>
        <w:t>30</w:t>
      </w:r>
      <w:r>
        <w:rPr>
          <w:rFonts w:hint="eastAsia" w:ascii="仿宋" w:hAnsi="仿宋" w:eastAsia="仿宋" w:cs="仿宋"/>
          <w:color w:val="auto"/>
          <w:sz w:val="24"/>
          <w:szCs w:val="24"/>
          <w:lang w:eastAsia="zh-CN"/>
        </w:rPr>
        <w:t>日前支付合同总价款的</w:t>
      </w:r>
      <w:r>
        <w:rPr>
          <w:rFonts w:ascii="仿宋" w:hAnsi="仿宋" w:eastAsia="仿宋" w:cs="仿宋"/>
          <w:color w:val="auto"/>
          <w:sz w:val="24"/>
          <w:szCs w:val="24"/>
          <w:lang w:eastAsia="zh-CN"/>
        </w:rPr>
        <w:t>50%</w:t>
      </w:r>
      <w:r>
        <w:rPr>
          <w:rFonts w:hint="eastAsia" w:ascii="仿宋" w:hAnsi="仿宋" w:eastAsia="仿宋" w:cs="仿宋"/>
          <w:color w:val="auto"/>
          <w:sz w:val="24"/>
          <w:szCs w:val="24"/>
          <w:lang w:eastAsia="zh-CN"/>
        </w:rPr>
        <w:t>。</w:t>
      </w:r>
    </w:p>
    <w:p w14:paraId="36F2660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2.工程款第二次支付：整个工程完工并全部完成竣工验收合格后，乙方在</w:t>
      </w:r>
      <w:r>
        <w:rPr>
          <w:rFonts w:ascii="仿宋" w:hAnsi="仿宋" w:eastAsia="仿宋" w:cs="仿宋"/>
          <w:color w:val="auto"/>
          <w:sz w:val="24"/>
          <w:szCs w:val="24"/>
          <w:lang w:eastAsia="zh-CN"/>
        </w:rPr>
        <w:t>28</w:t>
      </w:r>
      <w:r>
        <w:rPr>
          <w:rFonts w:hint="eastAsia" w:ascii="仿宋" w:hAnsi="仿宋" w:eastAsia="仿宋" w:cs="仿宋"/>
          <w:color w:val="auto"/>
          <w:sz w:val="24"/>
          <w:szCs w:val="24"/>
          <w:lang w:eastAsia="zh-CN"/>
        </w:rPr>
        <w:t>日内递交</w:t>
      </w:r>
      <w:r>
        <w:rPr>
          <w:rFonts w:ascii="仿宋" w:hAnsi="仿宋" w:eastAsia="仿宋" w:cs="仿宋"/>
          <w:color w:val="auto"/>
          <w:sz w:val="24"/>
          <w:szCs w:val="24"/>
          <w:lang w:eastAsia="zh-CN"/>
        </w:rPr>
        <w:t>3</w:t>
      </w:r>
      <w:r>
        <w:rPr>
          <w:rFonts w:hint="eastAsia" w:ascii="仿宋" w:hAnsi="仿宋" w:eastAsia="仿宋" w:cs="仿宋"/>
          <w:color w:val="auto"/>
          <w:sz w:val="24"/>
          <w:szCs w:val="24"/>
          <w:lang w:eastAsia="zh-CN"/>
        </w:rPr>
        <w:t>套完整的结算资料和竣工资料（包括但不限于结算书、竣工图、材料合格证明、质量保证书、隐蔽工程验收记录、施工日志以及其它能够证明工程按合同要求完成的相关文件资料，电子文档及纸质文档）至甲方，甲方在收到完整的相关结算资料和竣工资料后</w:t>
      </w:r>
      <w:r>
        <w:rPr>
          <w:rFonts w:ascii="仿宋" w:hAnsi="仿宋" w:eastAsia="仿宋" w:cs="仿宋"/>
          <w:color w:val="auto"/>
          <w:sz w:val="24"/>
          <w:szCs w:val="24"/>
          <w:lang w:eastAsia="zh-CN"/>
        </w:rPr>
        <w:t>30</w:t>
      </w:r>
      <w:r>
        <w:rPr>
          <w:rFonts w:hint="eastAsia" w:ascii="仿宋" w:hAnsi="仿宋" w:eastAsia="仿宋" w:cs="仿宋"/>
          <w:color w:val="auto"/>
          <w:sz w:val="24"/>
          <w:szCs w:val="24"/>
          <w:lang w:eastAsia="zh-CN"/>
        </w:rPr>
        <w:t>日内完成核对并结算办理完成，在</w:t>
      </w:r>
      <w:r>
        <w:rPr>
          <w:rFonts w:ascii="仿宋" w:hAnsi="仿宋" w:eastAsia="仿宋" w:cs="仿宋"/>
          <w:color w:val="auto"/>
          <w:sz w:val="24"/>
          <w:szCs w:val="24"/>
          <w:lang w:eastAsia="zh-CN"/>
        </w:rPr>
        <w:t>2026</w:t>
      </w:r>
      <w:r>
        <w:rPr>
          <w:rFonts w:hint="eastAsia" w:ascii="仿宋" w:hAnsi="仿宋" w:eastAsia="仿宋" w:cs="仿宋"/>
          <w:color w:val="auto"/>
          <w:sz w:val="24"/>
          <w:szCs w:val="24"/>
          <w:lang w:eastAsia="zh-CN"/>
        </w:rPr>
        <w:t>年</w:t>
      </w:r>
      <w:r>
        <w:rPr>
          <w:rFonts w:ascii="仿宋" w:hAnsi="仿宋" w:eastAsia="仿宋" w:cs="仿宋"/>
          <w:color w:val="auto"/>
          <w:sz w:val="24"/>
          <w:szCs w:val="24"/>
          <w:lang w:eastAsia="zh-CN"/>
        </w:rPr>
        <w:t>9</w:t>
      </w:r>
      <w:r>
        <w:rPr>
          <w:rFonts w:hint="eastAsia" w:ascii="仿宋" w:hAnsi="仿宋" w:eastAsia="仿宋" w:cs="仿宋"/>
          <w:color w:val="auto"/>
          <w:sz w:val="24"/>
          <w:szCs w:val="24"/>
          <w:lang w:eastAsia="zh-CN"/>
        </w:rPr>
        <w:t>月</w:t>
      </w:r>
      <w:r>
        <w:rPr>
          <w:rFonts w:ascii="仿宋" w:hAnsi="仿宋" w:eastAsia="仿宋" w:cs="仿宋"/>
          <w:color w:val="auto"/>
          <w:sz w:val="24"/>
          <w:szCs w:val="24"/>
          <w:lang w:eastAsia="zh-CN"/>
        </w:rPr>
        <w:t>30</w:t>
      </w:r>
      <w:r>
        <w:rPr>
          <w:rFonts w:hint="eastAsia" w:ascii="仿宋" w:hAnsi="仿宋" w:eastAsia="仿宋" w:cs="仿宋"/>
          <w:color w:val="auto"/>
          <w:sz w:val="24"/>
          <w:szCs w:val="24"/>
          <w:lang w:eastAsia="zh-CN"/>
        </w:rPr>
        <w:t>日前支付至结算金额的</w:t>
      </w:r>
      <w:r>
        <w:rPr>
          <w:rFonts w:ascii="仿宋" w:hAnsi="仿宋" w:eastAsia="仿宋" w:cs="仿宋"/>
          <w:color w:val="auto"/>
          <w:sz w:val="24"/>
          <w:szCs w:val="24"/>
          <w:lang w:eastAsia="zh-CN"/>
        </w:rPr>
        <w:t>95%</w:t>
      </w:r>
      <w:r>
        <w:rPr>
          <w:rFonts w:hint="eastAsia" w:ascii="仿宋" w:hAnsi="仿宋" w:eastAsia="仿宋" w:cs="仿宋"/>
          <w:color w:val="auto"/>
          <w:sz w:val="24"/>
          <w:szCs w:val="24"/>
          <w:lang w:eastAsia="zh-CN"/>
        </w:rPr>
        <w:t>。</w:t>
      </w:r>
      <w:r>
        <w:rPr>
          <w:rFonts w:ascii="仿宋" w:hAnsi="仿宋" w:eastAsia="仿宋" w:cs="仿宋"/>
          <w:color w:val="auto"/>
          <w:sz w:val="24"/>
          <w:szCs w:val="24"/>
          <w:lang w:eastAsia="zh-CN"/>
        </w:rPr>
        <w:t>5%</w:t>
      </w:r>
      <w:r>
        <w:rPr>
          <w:rFonts w:hint="eastAsia" w:ascii="仿宋" w:hAnsi="仿宋" w:eastAsia="仿宋" w:cs="仿宋"/>
          <w:color w:val="auto"/>
          <w:sz w:val="24"/>
          <w:szCs w:val="24"/>
          <w:lang w:eastAsia="zh-CN"/>
        </w:rPr>
        <w:t>为质保金（含其他工程二年质保金</w:t>
      </w:r>
      <w:r>
        <w:rPr>
          <w:rFonts w:ascii="仿宋" w:hAnsi="仿宋" w:eastAsia="仿宋" w:cs="仿宋"/>
          <w:color w:val="auto"/>
          <w:sz w:val="24"/>
          <w:szCs w:val="24"/>
          <w:lang w:eastAsia="zh-CN"/>
        </w:rPr>
        <w:t>2%</w:t>
      </w:r>
      <w:r>
        <w:rPr>
          <w:rFonts w:hint="eastAsia" w:ascii="仿宋" w:hAnsi="仿宋" w:eastAsia="仿宋" w:cs="仿宋"/>
          <w:color w:val="auto"/>
          <w:sz w:val="24"/>
          <w:szCs w:val="24"/>
          <w:lang w:eastAsia="zh-CN"/>
        </w:rPr>
        <w:t>，防水工程五年质保金</w:t>
      </w:r>
      <w:r>
        <w:rPr>
          <w:rFonts w:ascii="仿宋" w:hAnsi="仿宋" w:eastAsia="仿宋" w:cs="仿宋"/>
          <w:color w:val="auto"/>
          <w:sz w:val="24"/>
          <w:szCs w:val="24"/>
          <w:lang w:eastAsia="zh-CN"/>
        </w:rPr>
        <w:t>3%</w:t>
      </w:r>
      <w:r>
        <w:rPr>
          <w:rFonts w:hint="eastAsia" w:ascii="仿宋" w:hAnsi="仿宋" w:eastAsia="仿宋" w:cs="仿宋"/>
          <w:color w:val="auto"/>
          <w:sz w:val="24"/>
          <w:szCs w:val="24"/>
          <w:lang w:eastAsia="zh-CN"/>
        </w:rPr>
        <w:t>）。</w:t>
      </w:r>
    </w:p>
    <w:p w14:paraId="0C403B8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（三）供应商向采购人开具发票，采购人以转账方式向成交供应商支付款项。</w:t>
      </w:r>
      <w:bookmarkStart w:id="60" w:name="_Toc65660346"/>
      <w:bookmarkStart w:id="61" w:name="_Toc7228"/>
      <w:bookmarkStart w:id="62" w:name="_Toc106034786"/>
      <w:bookmarkStart w:id="63" w:name="_Toc3786"/>
      <w:bookmarkStart w:id="64" w:name="_Toc24751"/>
    </w:p>
    <w:p w14:paraId="1738C453">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六、</w:t>
      </w:r>
      <w:bookmarkEnd w:id="60"/>
      <w:bookmarkEnd w:id="61"/>
      <w:bookmarkEnd w:id="62"/>
      <w:bookmarkEnd w:id="63"/>
      <w:bookmarkEnd w:id="64"/>
      <w:bookmarkStart w:id="65" w:name="_Toc106034788"/>
      <w:bookmarkStart w:id="66" w:name="_Toc31659"/>
      <w:bookmarkStart w:id="67" w:name="_Toc65660348"/>
      <w:bookmarkStart w:id="68" w:name="_Toc23902"/>
      <w:bookmarkStart w:id="69" w:name="_Toc21248"/>
      <w:r>
        <w:rPr>
          <w:rFonts w:hint="eastAsia" w:ascii="黑体" w:hAnsi="黑体" w:eastAsia="黑体" w:cs="黑体"/>
          <w:b/>
          <w:bCs/>
          <w:color w:val="auto"/>
          <w:sz w:val="24"/>
          <w:szCs w:val="24"/>
          <w:lang w:eastAsia="zh-CN"/>
        </w:rPr>
        <w:t>其他</w:t>
      </w:r>
      <w:bookmarkEnd w:id="65"/>
      <w:bookmarkEnd w:id="66"/>
      <w:bookmarkEnd w:id="67"/>
      <w:bookmarkEnd w:id="68"/>
      <w:bookmarkEnd w:id="69"/>
    </w:p>
    <w:p w14:paraId="77D0578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其他未尽事宜由供需双方在采购合同中详细约定。</w:t>
      </w:r>
      <w:bookmarkStart w:id="70" w:name="_Toc16123"/>
      <w:bookmarkStart w:id="71" w:name="_Toc24195"/>
      <w:bookmarkStart w:id="72" w:name="_Toc31282"/>
      <w:bookmarkStart w:id="73" w:name="_Toc106034789"/>
      <w:bookmarkStart w:id="74" w:name="_Toc65660349"/>
    </w:p>
    <w:p w14:paraId="0EBBAD4B">
      <w:pPr>
        <w:spacing w:line="360" w:lineRule="auto"/>
        <w:ind w:firstLine="480"/>
        <w:jc w:val="both"/>
        <w:rPr>
          <w:rFonts w:hint="eastAsia" w:ascii="仿宋" w:hAnsi="仿宋" w:eastAsia="仿宋" w:cs="仿宋"/>
          <w:color w:val="auto"/>
          <w:sz w:val="24"/>
          <w:szCs w:val="24"/>
          <w:lang w:eastAsia="zh-CN"/>
        </w:rPr>
      </w:pPr>
    </w:p>
    <w:p w14:paraId="50F3CD78">
      <w:pPr>
        <w:spacing w:line="360" w:lineRule="auto"/>
        <w:ind w:firstLine="480"/>
        <w:jc w:val="both"/>
        <w:rPr>
          <w:rFonts w:hint="eastAsia" w:ascii="仿宋" w:hAnsi="仿宋" w:eastAsia="仿宋" w:cs="仿宋"/>
          <w:color w:val="auto"/>
          <w:sz w:val="24"/>
          <w:szCs w:val="24"/>
          <w:lang w:eastAsia="zh-CN"/>
        </w:rPr>
      </w:pPr>
    </w:p>
    <w:p w14:paraId="341E496A">
      <w:pPr>
        <w:spacing w:line="360" w:lineRule="auto"/>
        <w:ind w:firstLine="480"/>
        <w:jc w:val="both"/>
        <w:rPr>
          <w:rFonts w:hint="eastAsia" w:ascii="仿宋" w:hAnsi="仿宋" w:eastAsia="仿宋" w:cs="仿宋"/>
          <w:color w:val="auto"/>
          <w:sz w:val="24"/>
          <w:szCs w:val="24"/>
          <w:lang w:eastAsia="zh-CN"/>
        </w:rPr>
      </w:pPr>
    </w:p>
    <w:p w14:paraId="08F332AA">
      <w:pPr>
        <w:spacing w:line="360" w:lineRule="auto"/>
        <w:ind w:firstLine="480"/>
        <w:jc w:val="both"/>
        <w:rPr>
          <w:rFonts w:hint="eastAsia" w:ascii="仿宋" w:hAnsi="仿宋" w:eastAsia="仿宋" w:cs="仿宋"/>
          <w:color w:val="auto"/>
          <w:sz w:val="24"/>
          <w:szCs w:val="24"/>
          <w:lang w:eastAsia="zh-CN"/>
        </w:rPr>
      </w:pPr>
    </w:p>
    <w:p w14:paraId="74EB5E59">
      <w:pPr>
        <w:spacing w:line="360" w:lineRule="auto"/>
        <w:ind w:firstLine="480"/>
        <w:jc w:val="both"/>
        <w:rPr>
          <w:rFonts w:hint="eastAsia" w:ascii="仿宋" w:hAnsi="仿宋" w:eastAsia="仿宋" w:cs="仿宋"/>
          <w:color w:val="auto"/>
          <w:sz w:val="24"/>
          <w:szCs w:val="24"/>
          <w:lang w:eastAsia="zh-CN"/>
        </w:rPr>
      </w:pPr>
    </w:p>
    <w:p w14:paraId="048F7E30">
      <w:pPr>
        <w:spacing w:line="360" w:lineRule="auto"/>
        <w:ind w:firstLine="480"/>
        <w:jc w:val="both"/>
        <w:rPr>
          <w:rFonts w:hint="eastAsia" w:ascii="仿宋" w:hAnsi="仿宋" w:eastAsia="仿宋" w:cs="仿宋"/>
          <w:color w:val="auto"/>
          <w:sz w:val="24"/>
          <w:szCs w:val="24"/>
          <w:lang w:eastAsia="zh-CN"/>
        </w:rPr>
      </w:pPr>
    </w:p>
    <w:p w14:paraId="0FE8A2AD">
      <w:pPr>
        <w:spacing w:line="360" w:lineRule="auto"/>
        <w:ind w:firstLine="480"/>
        <w:jc w:val="both"/>
        <w:rPr>
          <w:rFonts w:hint="eastAsia" w:ascii="仿宋" w:hAnsi="仿宋" w:eastAsia="仿宋" w:cs="仿宋"/>
          <w:color w:val="auto"/>
          <w:sz w:val="24"/>
          <w:szCs w:val="24"/>
          <w:lang w:eastAsia="zh-CN"/>
        </w:rPr>
      </w:pPr>
    </w:p>
    <w:p w14:paraId="6AB572E7">
      <w:pPr>
        <w:spacing w:line="360" w:lineRule="auto"/>
        <w:ind w:firstLine="480"/>
        <w:jc w:val="both"/>
        <w:rPr>
          <w:rFonts w:hint="eastAsia" w:ascii="仿宋" w:hAnsi="仿宋" w:eastAsia="仿宋" w:cs="仿宋"/>
          <w:color w:val="auto"/>
          <w:sz w:val="24"/>
          <w:szCs w:val="24"/>
          <w:lang w:eastAsia="zh-CN"/>
        </w:rPr>
      </w:pPr>
    </w:p>
    <w:p w14:paraId="4E0600A0">
      <w:pPr>
        <w:spacing w:line="360" w:lineRule="auto"/>
        <w:ind w:firstLine="480"/>
        <w:jc w:val="both"/>
        <w:rPr>
          <w:rFonts w:hint="eastAsia" w:ascii="仿宋" w:hAnsi="仿宋" w:eastAsia="仿宋" w:cs="仿宋"/>
          <w:color w:val="auto"/>
          <w:sz w:val="24"/>
          <w:szCs w:val="24"/>
          <w:lang w:eastAsia="zh-CN"/>
        </w:rPr>
      </w:pPr>
    </w:p>
    <w:p w14:paraId="5752EBDD">
      <w:pPr>
        <w:spacing w:line="360" w:lineRule="auto"/>
        <w:ind w:firstLine="480"/>
        <w:jc w:val="both"/>
        <w:rPr>
          <w:rFonts w:hint="eastAsia" w:ascii="仿宋" w:hAnsi="仿宋" w:eastAsia="仿宋" w:cs="仿宋"/>
          <w:color w:val="auto"/>
          <w:sz w:val="24"/>
          <w:szCs w:val="24"/>
          <w:lang w:eastAsia="zh-CN"/>
        </w:rPr>
      </w:pPr>
    </w:p>
    <w:p w14:paraId="232F7326">
      <w:pPr>
        <w:spacing w:line="360" w:lineRule="auto"/>
        <w:ind w:firstLine="480"/>
        <w:jc w:val="both"/>
        <w:rPr>
          <w:rFonts w:hint="eastAsia" w:ascii="仿宋" w:hAnsi="仿宋" w:eastAsia="仿宋" w:cs="仿宋"/>
          <w:color w:val="auto"/>
          <w:sz w:val="24"/>
          <w:szCs w:val="24"/>
          <w:lang w:eastAsia="zh-CN"/>
        </w:rPr>
      </w:pPr>
    </w:p>
    <w:p w14:paraId="6E6147ED">
      <w:pPr>
        <w:spacing w:line="360" w:lineRule="auto"/>
        <w:ind w:firstLine="480"/>
        <w:jc w:val="both"/>
        <w:rPr>
          <w:rFonts w:hint="eastAsia" w:ascii="仿宋" w:hAnsi="仿宋" w:eastAsia="仿宋" w:cs="仿宋"/>
          <w:color w:val="auto"/>
          <w:sz w:val="24"/>
          <w:szCs w:val="24"/>
          <w:lang w:eastAsia="zh-CN"/>
        </w:rPr>
      </w:pPr>
    </w:p>
    <w:p w14:paraId="2511481C">
      <w:pPr>
        <w:spacing w:line="360" w:lineRule="auto"/>
        <w:ind w:firstLine="480"/>
        <w:jc w:val="both"/>
        <w:rPr>
          <w:rFonts w:hint="eastAsia" w:ascii="仿宋" w:hAnsi="仿宋" w:eastAsia="仿宋" w:cs="仿宋"/>
          <w:color w:val="auto"/>
          <w:sz w:val="24"/>
          <w:szCs w:val="24"/>
          <w:lang w:eastAsia="zh-CN"/>
        </w:rPr>
      </w:pPr>
    </w:p>
    <w:p w14:paraId="23081B23">
      <w:pPr>
        <w:spacing w:line="360" w:lineRule="auto"/>
        <w:ind w:firstLine="480"/>
        <w:jc w:val="both"/>
        <w:rPr>
          <w:rFonts w:hint="eastAsia" w:ascii="仿宋" w:hAnsi="仿宋" w:eastAsia="仿宋" w:cs="仿宋"/>
          <w:color w:val="auto"/>
          <w:sz w:val="24"/>
          <w:szCs w:val="24"/>
          <w:lang w:eastAsia="zh-CN"/>
        </w:rPr>
      </w:pPr>
    </w:p>
    <w:p w14:paraId="0905D3B4">
      <w:pPr>
        <w:spacing w:line="360" w:lineRule="auto"/>
        <w:ind w:firstLine="480"/>
        <w:jc w:val="both"/>
        <w:rPr>
          <w:rFonts w:hint="eastAsia" w:ascii="仿宋" w:hAnsi="仿宋" w:eastAsia="仿宋" w:cs="仿宋"/>
          <w:color w:val="auto"/>
          <w:sz w:val="24"/>
          <w:szCs w:val="24"/>
          <w:lang w:eastAsia="zh-CN"/>
        </w:rPr>
      </w:pPr>
    </w:p>
    <w:p w14:paraId="3F974688">
      <w:pPr>
        <w:spacing w:line="360" w:lineRule="auto"/>
        <w:ind w:firstLine="480"/>
        <w:jc w:val="both"/>
        <w:rPr>
          <w:rFonts w:hint="eastAsia" w:ascii="仿宋" w:hAnsi="仿宋" w:eastAsia="仿宋" w:cs="仿宋"/>
          <w:color w:val="auto"/>
          <w:sz w:val="24"/>
          <w:szCs w:val="24"/>
          <w:lang w:eastAsia="zh-CN"/>
        </w:rPr>
      </w:pPr>
    </w:p>
    <w:p w14:paraId="29799458">
      <w:pPr>
        <w:spacing w:line="360" w:lineRule="auto"/>
        <w:ind w:firstLine="480"/>
        <w:jc w:val="both"/>
        <w:rPr>
          <w:rFonts w:hint="eastAsia" w:ascii="仿宋" w:hAnsi="仿宋" w:eastAsia="仿宋" w:cs="仿宋"/>
          <w:color w:val="auto"/>
          <w:sz w:val="24"/>
          <w:szCs w:val="24"/>
          <w:lang w:eastAsia="zh-CN"/>
        </w:rPr>
      </w:pPr>
    </w:p>
    <w:p w14:paraId="383CABA4">
      <w:pPr>
        <w:spacing w:line="360" w:lineRule="auto"/>
        <w:ind w:firstLine="480"/>
        <w:jc w:val="both"/>
        <w:rPr>
          <w:rFonts w:hint="eastAsia" w:ascii="仿宋" w:hAnsi="仿宋" w:eastAsia="仿宋" w:cs="仿宋"/>
          <w:color w:val="auto"/>
          <w:sz w:val="24"/>
          <w:szCs w:val="24"/>
          <w:lang w:eastAsia="zh-CN"/>
        </w:rPr>
      </w:pPr>
    </w:p>
    <w:p w14:paraId="0A918AD9">
      <w:pPr>
        <w:spacing w:line="360" w:lineRule="auto"/>
        <w:ind w:firstLine="480"/>
        <w:jc w:val="both"/>
        <w:rPr>
          <w:rFonts w:hint="eastAsia" w:ascii="仿宋" w:hAnsi="仿宋" w:eastAsia="仿宋" w:cs="仿宋"/>
          <w:color w:val="auto"/>
          <w:sz w:val="24"/>
          <w:szCs w:val="24"/>
          <w:lang w:eastAsia="zh-CN"/>
        </w:rPr>
      </w:pPr>
    </w:p>
    <w:p w14:paraId="0C885943">
      <w:pPr>
        <w:spacing w:line="360" w:lineRule="auto"/>
        <w:ind w:firstLine="480"/>
        <w:jc w:val="both"/>
        <w:rPr>
          <w:rFonts w:hint="eastAsia" w:ascii="仿宋" w:hAnsi="仿宋" w:eastAsia="仿宋" w:cs="仿宋"/>
          <w:color w:val="auto"/>
          <w:sz w:val="24"/>
          <w:szCs w:val="24"/>
          <w:lang w:eastAsia="zh-CN"/>
        </w:rPr>
      </w:pPr>
    </w:p>
    <w:p w14:paraId="65D51C2E">
      <w:pPr>
        <w:spacing w:line="360" w:lineRule="auto"/>
        <w:ind w:firstLine="480"/>
        <w:jc w:val="both"/>
        <w:rPr>
          <w:rFonts w:hint="eastAsia" w:ascii="仿宋" w:hAnsi="仿宋" w:eastAsia="仿宋" w:cs="仿宋"/>
          <w:color w:val="auto"/>
          <w:sz w:val="24"/>
          <w:szCs w:val="24"/>
          <w:lang w:eastAsia="zh-CN"/>
        </w:rPr>
      </w:pPr>
    </w:p>
    <w:p w14:paraId="3BA6FD6F">
      <w:pPr>
        <w:spacing w:line="360" w:lineRule="auto"/>
        <w:ind w:firstLine="480"/>
        <w:jc w:val="both"/>
        <w:rPr>
          <w:rFonts w:hint="eastAsia" w:ascii="仿宋" w:hAnsi="仿宋" w:eastAsia="仿宋" w:cs="仿宋"/>
          <w:color w:val="auto"/>
          <w:sz w:val="24"/>
          <w:szCs w:val="24"/>
          <w:lang w:eastAsia="zh-CN"/>
        </w:rPr>
      </w:pPr>
    </w:p>
    <w:p w14:paraId="1055544F">
      <w:pPr>
        <w:spacing w:line="360" w:lineRule="auto"/>
        <w:ind w:firstLine="480"/>
        <w:jc w:val="both"/>
        <w:rPr>
          <w:rFonts w:hint="eastAsia" w:ascii="仿宋" w:hAnsi="仿宋" w:eastAsia="仿宋" w:cs="仿宋"/>
          <w:color w:val="auto"/>
          <w:sz w:val="24"/>
          <w:szCs w:val="24"/>
          <w:lang w:eastAsia="zh-CN"/>
        </w:rPr>
      </w:pPr>
    </w:p>
    <w:p w14:paraId="34900B07">
      <w:pPr>
        <w:spacing w:line="360" w:lineRule="auto"/>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第四篇  采购程序、评定成交的标准、无效报价及采购终止</w:t>
      </w:r>
      <w:bookmarkEnd w:id="70"/>
      <w:bookmarkEnd w:id="71"/>
      <w:bookmarkEnd w:id="72"/>
      <w:bookmarkEnd w:id="73"/>
      <w:bookmarkEnd w:id="74"/>
    </w:p>
    <w:p w14:paraId="1503EB74">
      <w:pPr>
        <w:spacing w:line="360" w:lineRule="auto"/>
        <w:ind w:firstLine="481"/>
        <w:jc w:val="both"/>
        <w:rPr>
          <w:rFonts w:hint="eastAsia" w:ascii="黑体" w:hAnsi="黑体" w:eastAsia="黑体" w:cs="黑体"/>
          <w:b/>
          <w:bCs/>
          <w:color w:val="auto"/>
          <w:sz w:val="24"/>
          <w:szCs w:val="24"/>
          <w:lang w:eastAsia="zh-CN"/>
        </w:rPr>
      </w:pPr>
      <w:bookmarkStart w:id="75" w:name="_Toc27932"/>
      <w:bookmarkStart w:id="76" w:name="_Toc9361"/>
      <w:bookmarkStart w:id="77" w:name="_Toc64732012"/>
      <w:bookmarkStart w:id="78" w:name="_Toc65660350"/>
      <w:bookmarkStart w:id="79" w:name="_Toc106034790"/>
      <w:bookmarkStart w:id="80" w:name="_Toc5167"/>
      <w:r>
        <w:rPr>
          <w:rFonts w:hint="eastAsia" w:ascii="黑体" w:hAnsi="黑体" w:eastAsia="黑体" w:cs="黑体"/>
          <w:b/>
          <w:bCs/>
          <w:color w:val="auto"/>
          <w:sz w:val="24"/>
          <w:szCs w:val="24"/>
          <w:lang w:eastAsia="zh-CN"/>
        </w:rPr>
        <w:t>一、采购程序</w:t>
      </w:r>
      <w:bookmarkEnd w:id="75"/>
      <w:bookmarkEnd w:id="76"/>
      <w:bookmarkEnd w:id="77"/>
      <w:bookmarkEnd w:id="78"/>
      <w:bookmarkEnd w:id="79"/>
      <w:bookmarkEnd w:id="80"/>
    </w:p>
    <w:p w14:paraId="526C87CC">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（一）询价按询价通知书规定的时间和地点进行。</w:t>
      </w:r>
    </w:p>
    <w:p w14:paraId="28A281F7">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（二）由本项目询价小组对各供应商的资格条件、实质性响应等进行审。</w:t>
      </w:r>
    </w:p>
    <w:p w14:paraId="7D60A6EF">
      <w:pPr>
        <w:spacing w:line="360" w:lineRule="auto"/>
        <w:ind w:firstLine="48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1.资格性审查。依据法律法规和询价通知书的规定，对响应文件中的资格证明材料、保证金等进行审查。</w:t>
      </w:r>
      <w:r>
        <w:rPr>
          <w:rFonts w:hint="eastAsia" w:ascii="仿宋" w:hAnsi="仿宋" w:eastAsia="仿宋" w:cs="仿宋"/>
          <w:color w:val="auto"/>
          <w:sz w:val="24"/>
          <w:szCs w:val="24"/>
        </w:rPr>
        <w:t>资格性审查内容如下：</w:t>
      </w:r>
    </w:p>
    <w:tbl>
      <w:tblPr>
        <w:tblStyle w:val="1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85"/>
        <w:gridCol w:w="3240"/>
        <w:gridCol w:w="4271"/>
      </w:tblGrid>
      <w:tr w14:paraId="6A03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tcBorders>
              <w:top w:val="single" w:color="auto" w:sz="4" w:space="0"/>
              <w:left w:val="single" w:color="auto" w:sz="4" w:space="0"/>
              <w:bottom w:val="single" w:color="auto" w:sz="4" w:space="0"/>
              <w:right w:val="single" w:color="auto" w:sz="4" w:space="0"/>
            </w:tcBorders>
            <w:vAlign w:val="center"/>
          </w:tcPr>
          <w:p w14:paraId="7FF12697">
            <w:pPr>
              <w:jc w:val="center"/>
              <w:rPr>
                <w:rFonts w:hint="eastAsia" w:ascii="仿宋" w:hAnsi="仿宋" w:eastAsia="仿宋" w:cs="仿宋"/>
                <w:color w:val="auto"/>
              </w:rPr>
            </w:pPr>
            <w:r>
              <w:rPr>
                <w:rFonts w:hint="eastAsia" w:ascii="仿宋" w:hAnsi="仿宋" w:eastAsia="仿宋" w:cs="仿宋"/>
                <w:color w:val="auto"/>
              </w:rPr>
              <w:t>序号</w:t>
            </w:r>
          </w:p>
        </w:tc>
        <w:tc>
          <w:tcPr>
            <w:tcW w:w="4125" w:type="dxa"/>
            <w:gridSpan w:val="2"/>
            <w:tcBorders>
              <w:top w:val="single" w:color="auto" w:sz="4" w:space="0"/>
              <w:left w:val="single" w:color="auto" w:sz="4" w:space="0"/>
              <w:bottom w:val="single" w:color="auto" w:sz="4" w:space="0"/>
              <w:right w:val="single" w:color="auto" w:sz="4" w:space="0"/>
            </w:tcBorders>
            <w:vAlign w:val="center"/>
          </w:tcPr>
          <w:p w14:paraId="61627427">
            <w:pPr>
              <w:jc w:val="center"/>
              <w:rPr>
                <w:rFonts w:hint="eastAsia" w:ascii="仿宋" w:hAnsi="仿宋" w:eastAsia="仿宋" w:cs="仿宋"/>
                <w:color w:val="auto"/>
              </w:rPr>
            </w:pPr>
            <w:r>
              <w:rPr>
                <w:rFonts w:hint="eastAsia" w:ascii="仿宋" w:hAnsi="仿宋" w:eastAsia="仿宋" w:cs="仿宋"/>
                <w:color w:val="auto"/>
              </w:rPr>
              <w:t>检查因素</w:t>
            </w:r>
          </w:p>
        </w:tc>
        <w:tc>
          <w:tcPr>
            <w:tcW w:w="4271" w:type="dxa"/>
            <w:tcBorders>
              <w:top w:val="single" w:color="auto" w:sz="4" w:space="0"/>
              <w:left w:val="single" w:color="auto" w:sz="4" w:space="0"/>
              <w:bottom w:val="single" w:color="auto" w:sz="4" w:space="0"/>
              <w:right w:val="single" w:color="auto" w:sz="4" w:space="0"/>
            </w:tcBorders>
            <w:vAlign w:val="center"/>
          </w:tcPr>
          <w:p w14:paraId="190EDB68">
            <w:pPr>
              <w:jc w:val="center"/>
              <w:rPr>
                <w:rFonts w:hint="eastAsia" w:ascii="仿宋" w:hAnsi="仿宋" w:eastAsia="仿宋" w:cs="仿宋"/>
                <w:color w:val="auto"/>
              </w:rPr>
            </w:pPr>
            <w:r>
              <w:rPr>
                <w:rFonts w:hint="eastAsia" w:ascii="仿宋" w:hAnsi="仿宋" w:eastAsia="仿宋" w:cs="仿宋"/>
                <w:color w:val="auto"/>
              </w:rPr>
              <w:t>检查内容</w:t>
            </w:r>
          </w:p>
        </w:tc>
      </w:tr>
      <w:tr w14:paraId="6B9A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2FC5D693">
            <w:pPr>
              <w:jc w:val="center"/>
              <w:rPr>
                <w:rFonts w:hint="eastAsia" w:ascii="仿宋" w:hAnsi="仿宋" w:eastAsia="仿宋" w:cs="仿宋"/>
                <w:color w:val="auto"/>
                <w:lang w:eastAsia="zh-CN"/>
              </w:rPr>
            </w:pPr>
            <w:r>
              <w:rPr>
                <w:rFonts w:hint="eastAsia" w:ascii="仿宋" w:hAnsi="仿宋" w:eastAsia="仿宋" w:cs="仿宋"/>
                <w:color w:val="auto"/>
                <w:lang w:eastAsia="zh-CN"/>
              </w:rPr>
              <w:t>1</w:t>
            </w:r>
          </w:p>
        </w:tc>
        <w:tc>
          <w:tcPr>
            <w:tcW w:w="885" w:type="dxa"/>
            <w:vMerge w:val="restart"/>
            <w:vAlign w:val="center"/>
          </w:tcPr>
          <w:p w14:paraId="53C5883D">
            <w:pPr>
              <w:jc w:val="center"/>
              <w:rPr>
                <w:rFonts w:hint="eastAsia" w:ascii="仿宋" w:hAnsi="仿宋" w:eastAsia="仿宋" w:cs="仿宋"/>
                <w:color w:val="auto"/>
                <w:lang w:val="zh-CN" w:eastAsia="zh-CN"/>
              </w:rPr>
            </w:pPr>
            <w:r>
              <w:rPr>
                <w:rFonts w:hint="eastAsia" w:ascii="仿宋" w:hAnsi="仿宋" w:eastAsia="仿宋" w:cs="仿宋"/>
                <w:color w:val="auto"/>
                <w:lang w:val="zh-CN" w:eastAsia="zh-CN"/>
              </w:rPr>
              <w:t>《中华人民共和国政府采购法》第二十二条规定</w:t>
            </w:r>
          </w:p>
        </w:tc>
        <w:tc>
          <w:tcPr>
            <w:tcW w:w="3240" w:type="dxa"/>
            <w:vAlign w:val="center"/>
          </w:tcPr>
          <w:p w14:paraId="5C0866E6">
            <w:pPr>
              <w:rPr>
                <w:rFonts w:hint="eastAsia" w:ascii="仿宋" w:hAnsi="仿宋" w:eastAsia="仿宋" w:cs="仿宋"/>
                <w:color w:val="auto"/>
                <w:lang w:eastAsia="zh-CN"/>
              </w:rPr>
            </w:pPr>
            <w:r>
              <w:rPr>
                <w:rFonts w:hint="eastAsia" w:ascii="仿宋" w:hAnsi="仿宋" w:eastAsia="仿宋" w:cs="仿宋"/>
                <w:color w:val="auto"/>
                <w:lang w:eastAsia="zh-CN"/>
              </w:rPr>
              <w:t xml:space="preserve">    1.具有独立承担民事责任能力</w:t>
            </w:r>
          </w:p>
        </w:tc>
        <w:tc>
          <w:tcPr>
            <w:tcW w:w="4271" w:type="dxa"/>
            <w:vAlign w:val="center"/>
          </w:tcPr>
          <w:p w14:paraId="49605E1F">
            <w:pPr>
              <w:jc w:val="both"/>
              <w:rPr>
                <w:rFonts w:hint="eastAsia" w:ascii="仿宋" w:hAnsi="仿宋" w:eastAsia="仿宋" w:cs="仿宋"/>
                <w:color w:val="auto"/>
                <w:lang w:eastAsia="zh-CN"/>
              </w:rPr>
            </w:pPr>
            <w:r>
              <w:rPr>
                <w:rFonts w:hint="eastAsia" w:ascii="仿宋" w:hAnsi="仿宋" w:eastAsia="仿宋" w:cs="仿宋"/>
                <w:color w:val="auto"/>
                <w:lang w:eastAsia="zh-CN"/>
              </w:rPr>
              <w:t xml:space="preserve">    1.供应商法人营业执照（副本）或事业单位法人证书（副本）或个体工商户营业执照或有效的自然人身份证明或社会团体法人登记证书（提供复印件）。</w:t>
            </w:r>
          </w:p>
          <w:p w14:paraId="11079991">
            <w:pPr>
              <w:jc w:val="both"/>
              <w:rPr>
                <w:rFonts w:hint="eastAsia" w:ascii="仿宋" w:hAnsi="仿宋" w:eastAsia="仿宋" w:cs="仿宋"/>
                <w:color w:val="auto"/>
                <w:lang w:eastAsia="zh-CN"/>
              </w:rPr>
            </w:pPr>
            <w:r>
              <w:rPr>
                <w:rFonts w:hint="eastAsia" w:ascii="仿宋" w:hAnsi="仿宋" w:eastAsia="仿宋" w:cs="仿宋"/>
                <w:color w:val="auto"/>
                <w:lang w:eastAsia="zh-CN"/>
              </w:rPr>
              <w:t xml:space="preserve">    2.供应商法定代表人身份证明和法定代表人授权代表委托书。</w:t>
            </w:r>
          </w:p>
        </w:tc>
      </w:tr>
      <w:tr w14:paraId="030F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3C3AD20">
            <w:pPr>
              <w:jc w:val="center"/>
              <w:rPr>
                <w:rFonts w:hint="eastAsia" w:ascii="仿宋" w:hAnsi="仿宋" w:eastAsia="仿宋" w:cs="仿宋"/>
                <w:color w:val="auto"/>
                <w:lang w:eastAsia="zh-CN"/>
              </w:rPr>
            </w:pPr>
          </w:p>
        </w:tc>
        <w:tc>
          <w:tcPr>
            <w:tcW w:w="885" w:type="dxa"/>
            <w:vMerge w:val="continue"/>
            <w:vAlign w:val="center"/>
          </w:tcPr>
          <w:p w14:paraId="74D585F4">
            <w:pPr>
              <w:rPr>
                <w:rFonts w:hint="eastAsia" w:ascii="仿宋" w:hAnsi="仿宋" w:eastAsia="仿宋" w:cs="仿宋"/>
                <w:color w:val="auto"/>
                <w:lang w:val="zh-CN" w:eastAsia="zh-CN"/>
              </w:rPr>
            </w:pPr>
          </w:p>
        </w:tc>
        <w:tc>
          <w:tcPr>
            <w:tcW w:w="3240" w:type="dxa"/>
            <w:vAlign w:val="center"/>
          </w:tcPr>
          <w:p w14:paraId="3E80DFF8">
            <w:pPr>
              <w:rPr>
                <w:rFonts w:hint="eastAsia"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lang w:val="zh-CN" w:eastAsia="zh-CN"/>
              </w:rPr>
              <w:t>2.</w:t>
            </w:r>
            <w:r>
              <w:rPr>
                <w:rFonts w:hint="eastAsia" w:ascii="仿宋" w:hAnsi="仿宋" w:eastAsia="仿宋" w:cs="仿宋"/>
                <w:color w:val="auto"/>
                <w:lang w:eastAsia="zh-CN"/>
              </w:rPr>
              <w:t>具有良好的商业信誉和健全的财务会计制度</w:t>
            </w:r>
          </w:p>
        </w:tc>
        <w:tc>
          <w:tcPr>
            <w:tcW w:w="4271" w:type="dxa"/>
            <w:vMerge w:val="restart"/>
            <w:vAlign w:val="center"/>
          </w:tcPr>
          <w:p w14:paraId="711D1085">
            <w:pPr>
              <w:jc w:val="both"/>
              <w:rPr>
                <w:rFonts w:hint="eastAsia" w:ascii="仿宋" w:hAnsi="仿宋" w:eastAsia="仿宋" w:cs="仿宋"/>
                <w:color w:val="auto"/>
                <w:lang w:eastAsia="zh-CN"/>
              </w:rPr>
            </w:pPr>
            <w:r>
              <w:rPr>
                <w:rFonts w:hint="eastAsia" w:ascii="仿宋" w:hAnsi="仿宋" w:eastAsia="仿宋" w:cs="仿宋"/>
                <w:color w:val="auto"/>
                <w:lang w:eastAsia="zh-CN"/>
              </w:rPr>
              <w:t xml:space="preserve">    供应商提供“基本资格条件承诺函”（格式详见第七篇）</w:t>
            </w:r>
          </w:p>
        </w:tc>
      </w:tr>
      <w:tr w14:paraId="3188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E4363AF">
            <w:pPr>
              <w:jc w:val="center"/>
              <w:rPr>
                <w:rFonts w:hint="eastAsia" w:ascii="仿宋" w:hAnsi="仿宋" w:eastAsia="仿宋" w:cs="仿宋"/>
                <w:color w:val="auto"/>
                <w:lang w:eastAsia="zh-CN"/>
              </w:rPr>
            </w:pPr>
          </w:p>
        </w:tc>
        <w:tc>
          <w:tcPr>
            <w:tcW w:w="885" w:type="dxa"/>
            <w:vMerge w:val="continue"/>
            <w:vAlign w:val="center"/>
          </w:tcPr>
          <w:p w14:paraId="4A53EFF7">
            <w:pPr>
              <w:rPr>
                <w:rFonts w:hint="eastAsia" w:ascii="仿宋" w:hAnsi="仿宋" w:eastAsia="仿宋" w:cs="仿宋"/>
                <w:color w:val="auto"/>
                <w:lang w:val="zh-CN" w:eastAsia="zh-CN"/>
              </w:rPr>
            </w:pPr>
          </w:p>
        </w:tc>
        <w:tc>
          <w:tcPr>
            <w:tcW w:w="3240" w:type="dxa"/>
            <w:vAlign w:val="center"/>
          </w:tcPr>
          <w:p w14:paraId="1129BAD6">
            <w:pPr>
              <w:rPr>
                <w:rFonts w:hint="eastAsia" w:ascii="仿宋" w:hAnsi="仿宋" w:eastAsia="仿宋" w:cs="仿宋"/>
                <w:color w:val="auto"/>
                <w:lang w:val="zh-CN" w:eastAsia="zh-CN"/>
              </w:rPr>
            </w:pPr>
            <w:r>
              <w:rPr>
                <w:rFonts w:hint="eastAsia" w:ascii="仿宋" w:hAnsi="仿宋" w:eastAsia="仿宋" w:cs="仿宋"/>
                <w:color w:val="auto"/>
                <w:lang w:eastAsia="zh-CN"/>
              </w:rPr>
              <w:t xml:space="preserve">    </w:t>
            </w:r>
            <w:r>
              <w:rPr>
                <w:rFonts w:hint="eastAsia" w:ascii="仿宋" w:hAnsi="仿宋" w:eastAsia="仿宋" w:cs="仿宋"/>
                <w:color w:val="auto"/>
                <w:lang w:val="zh-CN" w:eastAsia="zh-CN"/>
              </w:rPr>
              <w:t>3.具有履行合同所必需的设备和专业技术能力</w:t>
            </w:r>
          </w:p>
        </w:tc>
        <w:tc>
          <w:tcPr>
            <w:tcW w:w="4271" w:type="dxa"/>
            <w:vMerge w:val="continue"/>
            <w:vAlign w:val="center"/>
          </w:tcPr>
          <w:p w14:paraId="08F170FF">
            <w:pPr>
              <w:jc w:val="both"/>
              <w:rPr>
                <w:rFonts w:hint="eastAsia" w:ascii="仿宋" w:hAnsi="仿宋" w:eastAsia="仿宋" w:cs="仿宋"/>
                <w:color w:val="auto"/>
                <w:lang w:eastAsia="zh-CN"/>
              </w:rPr>
            </w:pPr>
          </w:p>
        </w:tc>
      </w:tr>
      <w:tr w14:paraId="763C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621CAA3B">
            <w:pPr>
              <w:jc w:val="center"/>
              <w:rPr>
                <w:rFonts w:hint="eastAsia" w:ascii="仿宋" w:hAnsi="仿宋" w:eastAsia="仿宋" w:cs="仿宋"/>
                <w:color w:val="auto"/>
                <w:lang w:eastAsia="zh-CN"/>
              </w:rPr>
            </w:pPr>
          </w:p>
        </w:tc>
        <w:tc>
          <w:tcPr>
            <w:tcW w:w="885" w:type="dxa"/>
            <w:vMerge w:val="continue"/>
            <w:vAlign w:val="center"/>
          </w:tcPr>
          <w:p w14:paraId="00BB7573">
            <w:pPr>
              <w:rPr>
                <w:rFonts w:hint="eastAsia" w:ascii="仿宋" w:hAnsi="仿宋" w:eastAsia="仿宋" w:cs="仿宋"/>
                <w:color w:val="auto"/>
                <w:lang w:val="zh-CN" w:eastAsia="zh-CN"/>
              </w:rPr>
            </w:pPr>
          </w:p>
        </w:tc>
        <w:tc>
          <w:tcPr>
            <w:tcW w:w="3240" w:type="dxa"/>
            <w:vAlign w:val="center"/>
          </w:tcPr>
          <w:p w14:paraId="3295725A">
            <w:pPr>
              <w:rPr>
                <w:rFonts w:hint="eastAsia" w:ascii="仿宋" w:hAnsi="仿宋" w:eastAsia="仿宋" w:cs="仿宋"/>
                <w:color w:val="auto"/>
                <w:lang w:val="zh-CN" w:eastAsia="zh-CN"/>
              </w:rPr>
            </w:pPr>
            <w:r>
              <w:rPr>
                <w:rFonts w:hint="eastAsia" w:ascii="仿宋" w:hAnsi="仿宋" w:eastAsia="仿宋" w:cs="仿宋"/>
                <w:color w:val="auto"/>
                <w:lang w:eastAsia="zh-CN"/>
              </w:rPr>
              <w:t xml:space="preserve">    </w:t>
            </w:r>
            <w:r>
              <w:rPr>
                <w:rFonts w:hint="eastAsia" w:ascii="仿宋" w:hAnsi="仿宋" w:eastAsia="仿宋" w:cs="仿宋"/>
                <w:color w:val="auto"/>
                <w:lang w:val="zh-CN" w:eastAsia="zh-CN"/>
              </w:rPr>
              <w:t>4.有依法纳税和社会保障金的良好记录</w:t>
            </w:r>
          </w:p>
        </w:tc>
        <w:tc>
          <w:tcPr>
            <w:tcW w:w="4271" w:type="dxa"/>
            <w:vMerge w:val="continue"/>
            <w:vAlign w:val="center"/>
          </w:tcPr>
          <w:p w14:paraId="2A50BBAB">
            <w:pPr>
              <w:jc w:val="both"/>
              <w:rPr>
                <w:rFonts w:hint="eastAsia" w:ascii="仿宋" w:hAnsi="仿宋" w:eastAsia="仿宋" w:cs="仿宋"/>
                <w:color w:val="auto"/>
                <w:lang w:eastAsia="zh-CN"/>
              </w:rPr>
            </w:pPr>
          </w:p>
        </w:tc>
      </w:tr>
      <w:tr w14:paraId="0B77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27036B3">
            <w:pPr>
              <w:jc w:val="center"/>
              <w:rPr>
                <w:rFonts w:hint="eastAsia" w:ascii="仿宋" w:hAnsi="仿宋" w:eastAsia="仿宋" w:cs="仿宋"/>
                <w:color w:val="auto"/>
                <w:lang w:eastAsia="zh-CN"/>
              </w:rPr>
            </w:pPr>
          </w:p>
        </w:tc>
        <w:tc>
          <w:tcPr>
            <w:tcW w:w="885" w:type="dxa"/>
            <w:vMerge w:val="continue"/>
            <w:vAlign w:val="center"/>
          </w:tcPr>
          <w:p w14:paraId="25EF275A">
            <w:pPr>
              <w:rPr>
                <w:rFonts w:hint="eastAsia" w:ascii="仿宋" w:hAnsi="仿宋" w:eastAsia="仿宋" w:cs="仿宋"/>
                <w:color w:val="auto"/>
                <w:lang w:val="zh-CN" w:eastAsia="zh-CN"/>
              </w:rPr>
            </w:pPr>
          </w:p>
        </w:tc>
        <w:tc>
          <w:tcPr>
            <w:tcW w:w="3240" w:type="dxa"/>
            <w:vAlign w:val="center"/>
          </w:tcPr>
          <w:p w14:paraId="62C5759F">
            <w:pPr>
              <w:rPr>
                <w:rFonts w:hint="eastAsia" w:ascii="仿宋" w:hAnsi="仿宋" w:eastAsia="仿宋" w:cs="仿宋"/>
                <w:color w:val="auto"/>
                <w:lang w:val="zh-CN" w:eastAsia="zh-CN"/>
              </w:rPr>
            </w:pPr>
            <w:r>
              <w:rPr>
                <w:rFonts w:hint="eastAsia" w:ascii="仿宋" w:hAnsi="仿宋" w:eastAsia="仿宋" w:cs="仿宋"/>
                <w:color w:val="auto"/>
                <w:lang w:eastAsia="zh-CN"/>
              </w:rPr>
              <w:t xml:space="preserve">    5.参加政府采购活动前3年内，在经营活动中没有重大违法记录</w:t>
            </w:r>
          </w:p>
        </w:tc>
        <w:tc>
          <w:tcPr>
            <w:tcW w:w="4271" w:type="dxa"/>
            <w:vMerge w:val="continue"/>
            <w:vAlign w:val="center"/>
          </w:tcPr>
          <w:p w14:paraId="4C3E4202">
            <w:pPr>
              <w:jc w:val="both"/>
              <w:rPr>
                <w:rFonts w:hint="eastAsia" w:ascii="仿宋" w:hAnsi="仿宋" w:eastAsia="仿宋" w:cs="仿宋"/>
                <w:color w:val="auto"/>
                <w:lang w:eastAsia="zh-CN"/>
              </w:rPr>
            </w:pPr>
          </w:p>
        </w:tc>
      </w:tr>
      <w:tr w14:paraId="0609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7331F778">
            <w:pPr>
              <w:jc w:val="center"/>
              <w:rPr>
                <w:rFonts w:hint="eastAsia" w:ascii="仿宋" w:hAnsi="仿宋" w:eastAsia="仿宋" w:cs="仿宋"/>
                <w:color w:val="auto"/>
                <w:lang w:eastAsia="zh-CN"/>
              </w:rPr>
            </w:pPr>
          </w:p>
        </w:tc>
        <w:tc>
          <w:tcPr>
            <w:tcW w:w="885" w:type="dxa"/>
            <w:vMerge w:val="continue"/>
            <w:vAlign w:val="center"/>
          </w:tcPr>
          <w:p w14:paraId="5EEF991F">
            <w:pPr>
              <w:rPr>
                <w:rFonts w:hint="eastAsia" w:ascii="仿宋" w:hAnsi="仿宋" w:eastAsia="仿宋" w:cs="仿宋"/>
                <w:color w:val="auto"/>
                <w:lang w:eastAsia="zh-CN"/>
              </w:rPr>
            </w:pPr>
          </w:p>
        </w:tc>
        <w:tc>
          <w:tcPr>
            <w:tcW w:w="3240" w:type="dxa"/>
            <w:vAlign w:val="center"/>
          </w:tcPr>
          <w:p w14:paraId="28D23512">
            <w:pPr>
              <w:rPr>
                <w:rFonts w:hint="eastAsia" w:ascii="仿宋" w:hAnsi="仿宋" w:eastAsia="仿宋" w:cs="仿宋"/>
                <w:color w:val="auto"/>
                <w:lang w:eastAsia="zh-CN"/>
              </w:rPr>
            </w:pPr>
            <w:r>
              <w:rPr>
                <w:rFonts w:hint="eastAsia" w:ascii="仿宋" w:hAnsi="仿宋" w:eastAsia="仿宋" w:cs="仿宋"/>
                <w:color w:val="auto"/>
                <w:lang w:eastAsia="zh-CN"/>
              </w:rPr>
              <w:t xml:space="preserve">    6.法律、行政法规规定的其他条件</w:t>
            </w:r>
          </w:p>
        </w:tc>
        <w:tc>
          <w:tcPr>
            <w:tcW w:w="4271" w:type="dxa"/>
            <w:vAlign w:val="center"/>
          </w:tcPr>
          <w:p w14:paraId="234AC237">
            <w:pPr>
              <w:jc w:val="both"/>
              <w:rPr>
                <w:rFonts w:hint="eastAsia" w:ascii="仿宋" w:hAnsi="仿宋" w:eastAsia="仿宋" w:cs="仿宋"/>
                <w:color w:val="auto"/>
                <w:lang w:eastAsia="zh-CN"/>
              </w:rPr>
            </w:pPr>
          </w:p>
        </w:tc>
      </w:tr>
      <w:tr w14:paraId="4151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4" w:type="dxa"/>
            <w:vMerge w:val="continue"/>
            <w:vAlign w:val="center"/>
          </w:tcPr>
          <w:p w14:paraId="3693C953">
            <w:pPr>
              <w:jc w:val="center"/>
              <w:rPr>
                <w:rFonts w:hint="eastAsia" w:ascii="仿宋" w:hAnsi="仿宋" w:eastAsia="仿宋" w:cs="仿宋"/>
                <w:color w:val="auto"/>
                <w:lang w:eastAsia="zh-CN"/>
              </w:rPr>
            </w:pPr>
          </w:p>
        </w:tc>
        <w:tc>
          <w:tcPr>
            <w:tcW w:w="885" w:type="dxa"/>
            <w:vMerge w:val="continue"/>
            <w:vAlign w:val="center"/>
          </w:tcPr>
          <w:p w14:paraId="5E9F5848">
            <w:pPr>
              <w:rPr>
                <w:rFonts w:hint="eastAsia" w:ascii="仿宋" w:hAnsi="仿宋" w:eastAsia="仿宋" w:cs="仿宋"/>
                <w:color w:val="auto"/>
                <w:lang w:eastAsia="zh-CN"/>
              </w:rPr>
            </w:pPr>
          </w:p>
        </w:tc>
        <w:tc>
          <w:tcPr>
            <w:tcW w:w="3240" w:type="dxa"/>
            <w:vAlign w:val="center"/>
          </w:tcPr>
          <w:p w14:paraId="220AA7E9">
            <w:pPr>
              <w:rPr>
                <w:rFonts w:hint="eastAsia" w:ascii="仿宋" w:hAnsi="仿宋" w:eastAsia="仿宋" w:cs="仿宋"/>
                <w:color w:val="auto"/>
                <w:lang w:eastAsia="zh-CN"/>
              </w:rPr>
            </w:pPr>
            <w:r>
              <w:rPr>
                <w:rFonts w:hint="eastAsia" w:ascii="仿宋" w:hAnsi="仿宋" w:eastAsia="仿宋" w:cs="仿宋"/>
                <w:color w:val="auto"/>
                <w:lang w:eastAsia="zh-CN"/>
              </w:rPr>
              <w:t xml:space="preserve">    7.本项目的特定资格要求</w:t>
            </w:r>
          </w:p>
        </w:tc>
        <w:tc>
          <w:tcPr>
            <w:tcW w:w="4271" w:type="dxa"/>
            <w:vAlign w:val="center"/>
          </w:tcPr>
          <w:p w14:paraId="0DD862C0">
            <w:pPr>
              <w:jc w:val="both"/>
              <w:rPr>
                <w:rFonts w:hint="eastAsia" w:ascii="仿宋" w:hAnsi="仿宋" w:eastAsia="仿宋" w:cs="仿宋"/>
                <w:color w:val="auto"/>
                <w:lang w:eastAsia="zh-CN"/>
              </w:rPr>
            </w:pPr>
            <w:r>
              <w:rPr>
                <w:rFonts w:hint="eastAsia" w:ascii="仿宋" w:hAnsi="仿宋" w:eastAsia="仿宋" w:cs="仿宋"/>
                <w:color w:val="auto"/>
                <w:lang w:eastAsia="zh-CN"/>
              </w:rPr>
              <w:t xml:space="preserve">    按“第一篇三、供应商资格要求（三）本项目的特定资格要求”的要求提交（如果有）。</w:t>
            </w:r>
          </w:p>
        </w:tc>
      </w:tr>
      <w:tr w14:paraId="4EF9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5DD44FD2">
            <w:pPr>
              <w:jc w:val="center"/>
              <w:rPr>
                <w:rFonts w:hint="eastAsia" w:ascii="仿宋" w:hAnsi="仿宋" w:eastAsia="仿宋" w:cs="仿宋"/>
                <w:color w:val="auto"/>
                <w:lang w:eastAsia="zh-CN"/>
              </w:rPr>
            </w:pPr>
            <w:r>
              <w:rPr>
                <w:rFonts w:hint="eastAsia" w:ascii="仿宋" w:hAnsi="仿宋" w:eastAsia="仿宋" w:cs="仿宋"/>
                <w:color w:val="auto"/>
                <w:lang w:eastAsia="zh-CN"/>
              </w:rPr>
              <w:t>2</w:t>
            </w:r>
          </w:p>
        </w:tc>
        <w:tc>
          <w:tcPr>
            <w:tcW w:w="4125" w:type="dxa"/>
            <w:gridSpan w:val="2"/>
            <w:vAlign w:val="center"/>
          </w:tcPr>
          <w:p w14:paraId="3507068D">
            <w:pPr>
              <w:rPr>
                <w:rFonts w:hint="eastAsia" w:ascii="仿宋" w:hAnsi="仿宋" w:eastAsia="仿宋" w:cs="仿宋"/>
                <w:color w:val="auto"/>
              </w:rPr>
            </w:pPr>
            <w:r>
              <w:rPr>
                <w:rFonts w:hint="eastAsia" w:ascii="仿宋" w:hAnsi="仿宋" w:eastAsia="仿宋" w:cs="仿宋"/>
                <w:color w:val="auto"/>
              </w:rPr>
              <w:t>保证金</w:t>
            </w:r>
          </w:p>
        </w:tc>
        <w:tc>
          <w:tcPr>
            <w:tcW w:w="4271" w:type="dxa"/>
            <w:vAlign w:val="center"/>
          </w:tcPr>
          <w:p w14:paraId="69933233">
            <w:pPr>
              <w:jc w:val="both"/>
              <w:rPr>
                <w:rFonts w:hint="eastAsia" w:ascii="仿宋" w:hAnsi="仿宋" w:eastAsia="仿宋" w:cs="仿宋"/>
                <w:color w:val="auto"/>
                <w:lang w:eastAsia="zh-CN"/>
              </w:rPr>
            </w:pPr>
            <w:r>
              <w:rPr>
                <w:rFonts w:hint="eastAsia" w:ascii="仿宋" w:hAnsi="仿宋" w:eastAsia="仿宋" w:cs="仿宋"/>
                <w:color w:val="auto"/>
                <w:lang w:eastAsia="zh-CN"/>
              </w:rPr>
              <w:t xml:space="preserve">    按照询价通知书要求足额支付响应保证金。</w:t>
            </w:r>
          </w:p>
        </w:tc>
      </w:tr>
    </w:tbl>
    <w:p w14:paraId="602F111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08AFC1A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参加政府采购活动前3年内，在经营活动中没有重大违法记录”中“重大违法记录”，是指供应商因违法经营受到刑事处罚或者责令停产停业、吊销许可证或者执照、较大数额罚款等行政处罚。行政处罚中“较大数额”的认定标准，供应商可于响应文件递交截止时间前通过“信用中国”网站（www.creditchina.gov.cn）、“中国政府采购网”（www.ccgp.gov.cn）等渠道查询信用记录。</w:t>
      </w:r>
    </w:p>
    <w:p w14:paraId="59A4E7C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实质性响应审查。询价小组应当对响应文件进行评审，并根据询价通知书规定的采购程序、评定成交的标准等事项与实质性响应询价通知书要求的供应商进行评审。未实质性响应询价通知书的响应文件按无效处理。</w:t>
      </w:r>
    </w:p>
    <w:p w14:paraId="265C9B6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实质性响应审查内容如下：</w:t>
      </w:r>
    </w:p>
    <w:tbl>
      <w:tblPr>
        <w:tblStyle w:val="1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5704"/>
      </w:tblGrid>
      <w:tr w14:paraId="51C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49C29DA7">
            <w:pPr>
              <w:jc w:val="center"/>
              <w:rPr>
                <w:rFonts w:hint="eastAsia" w:ascii="仿宋" w:hAnsi="仿宋" w:eastAsia="仿宋" w:cs="仿宋"/>
                <w:color w:val="auto"/>
              </w:rPr>
            </w:pPr>
            <w:r>
              <w:rPr>
                <w:rFonts w:hint="eastAsia" w:ascii="仿宋" w:hAnsi="仿宋" w:eastAsia="仿宋" w:cs="仿宋"/>
                <w:color w:val="auto"/>
              </w:rPr>
              <w:t>序号</w:t>
            </w:r>
          </w:p>
        </w:tc>
        <w:tc>
          <w:tcPr>
            <w:tcW w:w="2694" w:type="dxa"/>
            <w:vAlign w:val="center"/>
          </w:tcPr>
          <w:p w14:paraId="4A26E456">
            <w:pPr>
              <w:jc w:val="center"/>
              <w:rPr>
                <w:rFonts w:hint="eastAsia" w:ascii="仿宋" w:hAnsi="仿宋" w:eastAsia="仿宋" w:cs="仿宋"/>
                <w:color w:val="auto"/>
              </w:rPr>
            </w:pPr>
            <w:r>
              <w:rPr>
                <w:rFonts w:hint="eastAsia" w:ascii="仿宋" w:hAnsi="仿宋" w:eastAsia="仿宋" w:cs="仿宋"/>
                <w:color w:val="auto"/>
              </w:rPr>
              <w:t>审查因素</w:t>
            </w:r>
          </w:p>
        </w:tc>
        <w:tc>
          <w:tcPr>
            <w:tcW w:w="5704" w:type="dxa"/>
            <w:vAlign w:val="center"/>
          </w:tcPr>
          <w:p w14:paraId="51129AD2">
            <w:pPr>
              <w:jc w:val="center"/>
              <w:rPr>
                <w:rFonts w:hint="eastAsia" w:ascii="仿宋" w:hAnsi="仿宋" w:eastAsia="仿宋" w:cs="仿宋"/>
                <w:color w:val="auto"/>
              </w:rPr>
            </w:pPr>
            <w:r>
              <w:rPr>
                <w:rFonts w:hint="eastAsia" w:ascii="仿宋" w:hAnsi="仿宋" w:eastAsia="仿宋" w:cs="仿宋"/>
                <w:color w:val="auto"/>
              </w:rPr>
              <w:t>审查标准</w:t>
            </w:r>
          </w:p>
        </w:tc>
      </w:tr>
      <w:tr w14:paraId="434B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59F1BD26">
            <w:pPr>
              <w:jc w:val="center"/>
              <w:rPr>
                <w:rFonts w:hint="eastAsia" w:ascii="仿宋" w:hAnsi="仿宋" w:eastAsia="仿宋" w:cs="仿宋"/>
                <w:color w:val="auto"/>
              </w:rPr>
            </w:pPr>
            <w:r>
              <w:rPr>
                <w:rFonts w:hint="eastAsia" w:ascii="仿宋" w:hAnsi="仿宋" w:eastAsia="仿宋" w:cs="仿宋"/>
                <w:color w:val="auto"/>
              </w:rPr>
              <w:t>1</w:t>
            </w:r>
          </w:p>
        </w:tc>
        <w:tc>
          <w:tcPr>
            <w:tcW w:w="2694" w:type="dxa"/>
            <w:vAlign w:val="center"/>
          </w:tcPr>
          <w:p w14:paraId="29F2335F">
            <w:pPr>
              <w:jc w:val="both"/>
              <w:rPr>
                <w:rFonts w:hint="eastAsia" w:ascii="仿宋" w:hAnsi="仿宋" w:eastAsia="仿宋" w:cs="仿宋"/>
                <w:color w:val="auto"/>
              </w:rPr>
            </w:pPr>
            <w:r>
              <w:rPr>
                <w:rFonts w:hint="eastAsia" w:ascii="仿宋" w:hAnsi="仿宋" w:eastAsia="仿宋" w:cs="仿宋"/>
                <w:color w:val="auto"/>
              </w:rPr>
              <w:t>响应文件签署或盖章</w:t>
            </w:r>
          </w:p>
        </w:tc>
        <w:tc>
          <w:tcPr>
            <w:tcW w:w="5704" w:type="dxa"/>
            <w:vAlign w:val="center"/>
          </w:tcPr>
          <w:p w14:paraId="4BA991D0">
            <w:pPr>
              <w:jc w:val="both"/>
              <w:rPr>
                <w:rFonts w:hint="eastAsia" w:ascii="仿宋" w:hAnsi="仿宋" w:eastAsia="仿宋" w:cs="仿宋"/>
                <w:color w:val="auto"/>
                <w:lang w:eastAsia="zh-CN"/>
              </w:rPr>
            </w:pPr>
            <w:r>
              <w:rPr>
                <w:rFonts w:hint="eastAsia" w:ascii="仿宋" w:hAnsi="仿宋" w:eastAsia="仿宋" w:cs="仿宋"/>
                <w:color w:val="auto"/>
                <w:lang w:eastAsia="zh-CN"/>
              </w:rPr>
              <w:t>按“第七篇响应文件格式要求”要求签署或盖章。</w:t>
            </w:r>
          </w:p>
        </w:tc>
      </w:tr>
      <w:tr w14:paraId="3898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8F6D760">
            <w:pPr>
              <w:jc w:val="center"/>
              <w:rPr>
                <w:rFonts w:hint="eastAsia" w:ascii="仿宋" w:hAnsi="仿宋" w:eastAsia="仿宋" w:cs="仿宋"/>
                <w:color w:val="auto"/>
                <w:lang w:eastAsia="zh-CN"/>
              </w:rPr>
            </w:pPr>
          </w:p>
        </w:tc>
        <w:tc>
          <w:tcPr>
            <w:tcW w:w="2694" w:type="dxa"/>
            <w:vAlign w:val="center"/>
          </w:tcPr>
          <w:p w14:paraId="40B15F22">
            <w:pPr>
              <w:jc w:val="both"/>
              <w:rPr>
                <w:rFonts w:hint="eastAsia" w:ascii="仿宋" w:hAnsi="仿宋" w:eastAsia="仿宋" w:cs="仿宋"/>
                <w:color w:val="auto"/>
                <w:lang w:eastAsia="zh-CN"/>
              </w:rPr>
            </w:pPr>
            <w:r>
              <w:rPr>
                <w:rFonts w:hint="eastAsia" w:ascii="仿宋" w:hAnsi="仿宋" w:eastAsia="仿宋" w:cs="仿宋"/>
                <w:color w:val="auto"/>
                <w:lang w:eastAsia="zh-CN"/>
              </w:rPr>
              <w:t>法定代表人身份证明及授权委托书</w:t>
            </w:r>
          </w:p>
        </w:tc>
        <w:tc>
          <w:tcPr>
            <w:tcW w:w="5704" w:type="dxa"/>
            <w:vAlign w:val="center"/>
          </w:tcPr>
          <w:p w14:paraId="6F9B6C59">
            <w:pPr>
              <w:jc w:val="both"/>
              <w:rPr>
                <w:rFonts w:hint="eastAsia" w:ascii="仿宋" w:hAnsi="仿宋" w:eastAsia="仿宋" w:cs="仿宋"/>
                <w:color w:val="auto"/>
                <w:lang w:eastAsia="zh-CN"/>
              </w:rPr>
            </w:pPr>
            <w:r>
              <w:rPr>
                <w:rFonts w:hint="eastAsia" w:ascii="仿宋" w:hAnsi="仿宋" w:eastAsia="仿宋" w:cs="仿宋"/>
                <w:color w:val="auto"/>
                <w:lang w:eastAsia="zh-CN"/>
              </w:rPr>
              <w:t>法定代表人身份证明及授权委托书有效，符合询价通知书规定的格式，签署或盖章齐全。</w:t>
            </w:r>
          </w:p>
        </w:tc>
      </w:tr>
      <w:tr w14:paraId="1382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4C82EE3F">
            <w:pPr>
              <w:jc w:val="center"/>
              <w:rPr>
                <w:rFonts w:hint="eastAsia" w:ascii="仿宋" w:hAnsi="仿宋" w:eastAsia="仿宋" w:cs="仿宋"/>
                <w:color w:val="auto"/>
                <w:lang w:eastAsia="zh-CN"/>
              </w:rPr>
            </w:pPr>
          </w:p>
        </w:tc>
        <w:tc>
          <w:tcPr>
            <w:tcW w:w="2694" w:type="dxa"/>
            <w:vAlign w:val="center"/>
          </w:tcPr>
          <w:p w14:paraId="55FAD5A1">
            <w:pPr>
              <w:jc w:val="both"/>
              <w:rPr>
                <w:rFonts w:hint="eastAsia" w:ascii="仿宋" w:hAnsi="仿宋" w:eastAsia="仿宋" w:cs="仿宋"/>
                <w:color w:val="auto"/>
                <w:lang w:val="zh-CN"/>
              </w:rPr>
            </w:pPr>
            <w:r>
              <w:rPr>
                <w:rFonts w:hint="eastAsia" w:ascii="仿宋" w:hAnsi="仿宋" w:eastAsia="仿宋" w:cs="仿宋"/>
                <w:color w:val="auto"/>
              </w:rPr>
              <w:t>响应</w:t>
            </w:r>
            <w:r>
              <w:rPr>
                <w:rFonts w:hint="eastAsia" w:ascii="仿宋" w:hAnsi="仿宋" w:eastAsia="仿宋" w:cs="仿宋"/>
                <w:color w:val="auto"/>
                <w:lang w:val="zh-CN"/>
              </w:rPr>
              <w:t>方案</w:t>
            </w:r>
          </w:p>
        </w:tc>
        <w:tc>
          <w:tcPr>
            <w:tcW w:w="5704" w:type="dxa"/>
            <w:vAlign w:val="center"/>
          </w:tcPr>
          <w:p w14:paraId="12E26D2A">
            <w:pPr>
              <w:jc w:val="both"/>
              <w:rPr>
                <w:rFonts w:hint="eastAsia" w:ascii="仿宋" w:hAnsi="仿宋" w:eastAsia="仿宋" w:cs="仿宋"/>
                <w:color w:val="auto"/>
                <w:lang w:eastAsia="zh-CN"/>
              </w:rPr>
            </w:pPr>
            <w:r>
              <w:rPr>
                <w:rFonts w:hint="eastAsia" w:ascii="仿宋" w:hAnsi="仿宋" w:eastAsia="仿宋" w:cs="仿宋"/>
                <w:color w:val="auto"/>
                <w:lang w:val="zh-CN" w:eastAsia="zh-CN"/>
              </w:rPr>
              <w:t>只能有一个</w:t>
            </w:r>
            <w:r>
              <w:rPr>
                <w:rFonts w:hint="eastAsia" w:ascii="仿宋" w:hAnsi="仿宋" w:eastAsia="仿宋" w:cs="仿宋"/>
                <w:color w:val="auto"/>
                <w:lang w:eastAsia="zh-CN"/>
              </w:rPr>
              <w:t>响应</w:t>
            </w:r>
            <w:r>
              <w:rPr>
                <w:rFonts w:hint="eastAsia" w:ascii="仿宋" w:hAnsi="仿宋" w:eastAsia="仿宋" w:cs="仿宋"/>
                <w:color w:val="auto"/>
                <w:lang w:val="zh-CN" w:eastAsia="zh-CN"/>
              </w:rPr>
              <w:t>方案。</w:t>
            </w:r>
          </w:p>
        </w:tc>
      </w:tr>
      <w:tr w14:paraId="4A26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141DB7CF">
            <w:pPr>
              <w:jc w:val="center"/>
              <w:rPr>
                <w:rFonts w:hint="eastAsia" w:ascii="仿宋" w:hAnsi="仿宋" w:eastAsia="仿宋" w:cs="仿宋"/>
                <w:color w:val="auto"/>
                <w:lang w:eastAsia="zh-CN"/>
              </w:rPr>
            </w:pPr>
          </w:p>
        </w:tc>
        <w:tc>
          <w:tcPr>
            <w:tcW w:w="2694" w:type="dxa"/>
            <w:vAlign w:val="center"/>
          </w:tcPr>
          <w:p w14:paraId="53213480">
            <w:pPr>
              <w:jc w:val="both"/>
              <w:rPr>
                <w:rFonts w:hint="eastAsia" w:ascii="仿宋" w:hAnsi="仿宋" w:eastAsia="仿宋" w:cs="仿宋"/>
                <w:color w:val="auto"/>
                <w:lang w:val="zh-CN"/>
              </w:rPr>
            </w:pPr>
            <w:r>
              <w:rPr>
                <w:rFonts w:hint="eastAsia" w:ascii="仿宋" w:hAnsi="仿宋" w:eastAsia="仿宋" w:cs="仿宋"/>
                <w:color w:val="auto"/>
              </w:rPr>
              <w:t>报价唯一</w:t>
            </w:r>
          </w:p>
        </w:tc>
        <w:tc>
          <w:tcPr>
            <w:tcW w:w="5704" w:type="dxa"/>
            <w:vAlign w:val="center"/>
          </w:tcPr>
          <w:p w14:paraId="3BE7E419">
            <w:pPr>
              <w:jc w:val="both"/>
              <w:rPr>
                <w:rFonts w:hint="eastAsia" w:ascii="仿宋" w:hAnsi="仿宋" w:eastAsia="仿宋" w:cs="仿宋"/>
                <w:color w:val="auto"/>
                <w:lang w:eastAsia="zh-CN"/>
              </w:rPr>
            </w:pPr>
            <w:r>
              <w:rPr>
                <w:rFonts w:hint="eastAsia" w:ascii="仿宋" w:hAnsi="仿宋" w:eastAsia="仿宋" w:cs="仿宋"/>
                <w:color w:val="auto"/>
                <w:lang w:eastAsia="zh-CN"/>
              </w:rPr>
              <w:t>只能有一个有效报价，不得提交选择性报价。</w:t>
            </w:r>
          </w:p>
        </w:tc>
      </w:tr>
      <w:tr w14:paraId="42D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3E10D836">
            <w:pPr>
              <w:jc w:val="center"/>
              <w:rPr>
                <w:rFonts w:hint="eastAsia" w:ascii="仿宋" w:hAnsi="仿宋" w:eastAsia="仿宋" w:cs="仿宋"/>
                <w:color w:val="auto"/>
              </w:rPr>
            </w:pPr>
            <w:r>
              <w:rPr>
                <w:rFonts w:hint="eastAsia" w:ascii="仿宋" w:hAnsi="仿宋" w:eastAsia="仿宋" w:cs="仿宋"/>
                <w:color w:val="auto"/>
              </w:rPr>
              <w:t>2</w:t>
            </w:r>
          </w:p>
        </w:tc>
        <w:tc>
          <w:tcPr>
            <w:tcW w:w="2694" w:type="dxa"/>
            <w:vAlign w:val="center"/>
          </w:tcPr>
          <w:p w14:paraId="27435AFF">
            <w:pPr>
              <w:jc w:val="both"/>
              <w:rPr>
                <w:rFonts w:hint="eastAsia" w:ascii="仿宋" w:hAnsi="仿宋" w:eastAsia="仿宋" w:cs="仿宋"/>
                <w:color w:val="auto"/>
              </w:rPr>
            </w:pPr>
            <w:r>
              <w:rPr>
                <w:rFonts w:hint="eastAsia" w:ascii="仿宋" w:hAnsi="仿宋" w:eastAsia="仿宋" w:cs="仿宋"/>
                <w:color w:val="auto"/>
              </w:rPr>
              <w:t>响应文件</w:t>
            </w:r>
            <w:r>
              <w:rPr>
                <w:rFonts w:hint="eastAsia" w:ascii="仿宋" w:hAnsi="仿宋" w:eastAsia="仿宋" w:cs="仿宋"/>
                <w:color w:val="auto"/>
                <w:lang w:val="zh-CN"/>
              </w:rPr>
              <w:t>份数</w:t>
            </w:r>
          </w:p>
        </w:tc>
        <w:tc>
          <w:tcPr>
            <w:tcW w:w="5704" w:type="dxa"/>
            <w:vAlign w:val="center"/>
          </w:tcPr>
          <w:p w14:paraId="5E06B822">
            <w:pPr>
              <w:jc w:val="both"/>
              <w:rPr>
                <w:rFonts w:hint="eastAsia" w:ascii="仿宋" w:hAnsi="仿宋" w:eastAsia="仿宋" w:cs="仿宋"/>
                <w:color w:val="auto"/>
                <w:lang w:eastAsia="zh-CN"/>
              </w:rPr>
            </w:pPr>
            <w:r>
              <w:rPr>
                <w:rFonts w:hint="eastAsia" w:ascii="仿宋" w:hAnsi="仿宋" w:eastAsia="仿宋" w:cs="仿宋"/>
                <w:color w:val="auto"/>
                <w:lang w:eastAsia="zh-CN"/>
              </w:rPr>
              <w:t>响应文件</w:t>
            </w:r>
            <w:r>
              <w:rPr>
                <w:rFonts w:hint="eastAsia" w:ascii="仿宋" w:hAnsi="仿宋" w:eastAsia="仿宋" w:cs="仿宋"/>
                <w:color w:val="auto"/>
                <w:lang w:val="zh-CN" w:eastAsia="zh-CN"/>
              </w:rPr>
              <w:t>正、副本数量符合</w:t>
            </w:r>
            <w:r>
              <w:rPr>
                <w:rFonts w:hint="eastAsia" w:ascii="仿宋" w:hAnsi="仿宋" w:eastAsia="仿宋" w:cs="仿宋"/>
                <w:color w:val="auto"/>
                <w:lang w:eastAsia="zh-CN"/>
              </w:rPr>
              <w:t>询价通知书</w:t>
            </w:r>
            <w:r>
              <w:rPr>
                <w:rFonts w:hint="eastAsia" w:ascii="仿宋" w:hAnsi="仿宋" w:eastAsia="仿宋" w:cs="仿宋"/>
                <w:color w:val="auto"/>
                <w:lang w:val="zh-CN" w:eastAsia="zh-CN"/>
              </w:rPr>
              <w:t>要求。</w:t>
            </w:r>
          </w:p>
        </w:tc>
      </w:tr>
      <w:tr w14:paraId="023B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2FC83BC1">
            <w:pPr>
              <w:jc w:val="center"/>
              <w:rPr>
                <w:rFonts w:hint="eastAsia" w:ascii="仿宋" w:hAnsi="仿宋" w:eastAsia="仿宋" w:cs="仿宋"/>
                <w:color w:val="auto"/>
              </w:rPr>
            </w:pPr>
            <w:r>
              <w:rPr>
                <w:rFonts w:hint="eastAsia" w:ascii="仿宋" w:hAnsi="仿宋" w:eastAsia="仿宋" w:cs="仿宋"/>
                <w:color w:val="auto"/>
              </w:rPr>
              <w:t>3</w:t>
            </w:r>
          </w:p>
        </w:tc>
        <w:tc>
          <w:tcPr>
            <w:tcW w:w="2694" w:type="dxa"/>
            <w:vAlign w:val="center"/>
          </w:tcPr>
          <w:p w14:paraId="2FA91C01">
            <w:pPr>
              <w:jc w:val="both"/>
              <w:rPr>
                <w:rFonts w:hint="eastAsia" w:ascii="仿宋" w:hAnsi="仿宋" w:eastAsia="仿宋" w:cs="仿宋"/>
                <w:color w:val="auto"/>
              </w:rPr>
            </w:pPr>
            <w:r>
              <w:rPr>
                <w:rFonts w:hint="eastAsia" w:ascii="仿宋" w:hAnsi="仿宋" w:eastAsia="仿宋" w:cs="仿宋"/>
                <w:color w:val="auto"/>
              </w:rPr>
              <w:t>响应文件内容</w:t>
            </w:r>
          </w:p>
        </w:tc>
        <w:tc>
          <w:tcPr>
            <w:tcW w:w="5704" w:type="dxa"/>
            <w:vAlign w:val="center"/>
          </w:tcPr>
          <w:p w14:paraId="05A41162">
            <w:pPr>
              <w:jc w:val="both"/>
              <w:rPr>
                <w:rFonts w:hint="eastAsia" w:ascii="仿宋" w:hAnsi="仿宋" w:eastAsia="仿宋" w:cs="仿宋"/>
                <w:color w:val="auto"/>
                <w:lang w:eastAsia="zh-CN"/>
              </w:rPr>
            </w:pPr>
            <w:r>
              <w:rPr>
                <w:rFonts w:hint="eastAsia" w:ascii="仿宋" w:hAnsi="仿宋" w:eastAsia="仿宋" w:cs="仿宋"/>
                <w:color w:val="auto"/>
                <w:lang w:eastAsia="zh-CN"/>
              </w:rPr>
              <w:t>对询价通知书第二篇、第三篇规定的询价内容进行实质性响应。</w:t>
            </w:r>
          </w:p>
        </w:tc>
      </w:tr>
      <w:tr w14:paraId="2A97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40B190D8">
            <w:pPr>
              <w:jc w:val="both"/>
              <w:rPr>
                <w:rFonts w:hint="eastAsia" w:ascii="仿宋" w:hAnsi="仿宋" w:eastAsia="仿宋" w:cs="仿宋"/>
                <w:color w:val="auto"/>
                <w:lang w:eastAsia="zh-CN"/>
              </w:rPr>
            </w:pPr>
          </w:p>
        </w:tc>
        <w:tc>
          <w:tcPr>
            <w:tcW w:w="2694" w:type="dxa"/>
            <w:vAlign w:val="center"/>
          </w:tcPr>
          <w:p w14:paraId="770E9006">
            <w:pPr>
              <w:jc w:val="both"/>
              <w:rPr>
                <w:rFonts w:hint="eastAsia" w:ascii="仿宋" w:hAnsi="仿宋" w:eastAsia="仿宋" w:cs="仿宋"/>
                <w:color w:val="auto"/>
              </w:rPr>
            </w:pPr>
            <w:r>
              <w:rPr>
                <w:rFonts w:hint="eastAsia" w:ascii="仿宋" w:hAnsi="仿宋" w:eastAsia="仿宋" w:cs="仿宋"/>
                <w:color w:val="auto"/>
              </w:rPr>
              <w:t>询价有效期</w:t>
            </w:r>
          </w:p>
        </w:tc>
        <w:tc>
          <w:tcPr>
            <w:tcW w:w="5704" w:type="dxa"/>
            <w:vAlign w:val="center"/>
          </w:tcPr>
          <w:p w14:paraId="04B83A0F">
            <w:pPr>
              <w:jc w:val="both"/>
              <w:rPr>
                <w:rFonts w:hint="eastAsia" w:ascii="仿宋" w:hAnsi="仿宋" w:eastAsia="仿宋" w:cs="仿宋"/>
                <w:color w:val="auto"/>
                <w:lang w:eastAsia="zh-CN"/>
              </w:rPr>
            </w:pPr>
            <w:r>
              <w:rPr>
                <w:rFonts w:hint="eastAsia" w:ascii="仿宋" w:hAnsi="仿宋" w:eastAsia="仿宋" w:cs="仿宋"/>
                <w:color w:val="auto"/>
                <w:lang w:eastAsia="zh-CN"/>
              </w:rPr>
              <w:t>响应文件及有关承诺文件有效期为提交响应文件截止时间起90天。</w:t>
            </w:r>
          </w:p>
        </w:tc>
      </w:tr>
    </w:tbl>
    <w:p w14:paraId="2335DE7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A4357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响应处理。</w:t>
      </w:r>
    </w:p>
    <w:p w14:paraId="0AA35BC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805142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（三）评审的依据为询价通知书和响应文件（含有效的补充文件）。询价小组判断响应文件对询价通知书的响应，仅基于响应文件本身而不靠外部证据。</w:t>
      </w:r>
      <w:bookmarkStart w:id="81" w:name="_Toc5149"/>
      <w:bookmarkStart w:id="82" w:name="_Toc65660351"/>
      <w:bookmarkStart w:id="83" w:name="_Toc106034791"/>
      <w:bookmarkStart w:id="84" w:name="_Toc30639"/>
      <w:bookmarkStart w:id="85" w:name="_Toc11713"/>
      <w:bookmarkStart w:id="86" w:name="_Toc64732013"/>
    </w:p>
    <w:p w14:paraId="35E2BF63">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二、评定成交的标准</w:t>
      </w:r>
      <w:bookmarkEnd w:id="81"/>
      <w:bookmarkEnd w:id="82"/>
      <w:bookmarkEnd w:id="83"/>
      <w:bookmarkEnd w:id="84"/>
      <w:bookmarkEnd w:id="85"/>
      <w:bookmarkEnd w:id="86"/>
    </w:p>
    <w:p w14:paraId="56D4FAA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（一）询价小组将依照本询价通知书相关规定对技术和服务均能满足询价文件实质性要求的供应商所提交的报价进行评审，价格按照由低到高的顺序提出3名成交候选人。</w:t>
      </w:r>
    </w:p>
    <w:p w14:paraId="43A1A42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（二）成交价格=成交供应商的报价。</w:t>
      </w:r>
      <w:bookmarkStart w:id="87" w:name="_Toc12644"/>
      <w:bookmarkStart w:id="88" w:name="_Toc65660352"/>
      <w:bookmarkStart w:id="89" w:name="_Toc29113"/>
      <w:bookmarkStart w:id="90" w:name="_Toc106034792"/>
      <w:bookmarkStart w:id="91" w:name="_Toc19473"/>
    </w:p>
    <w:p w14:paraId="2B2335D3">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三、无效</w:t>
      </w:r>
      <w:bookmarkEnd w:id="87"/>
      <w:bookmarkEnd w:id="88"/>
      <w:bookmarkEnd w:id="89"/>
      <w:r>
        <w:rPr>
          <w:rFonts w:hint="eastAsia" w:ascii="黑体" w:hAnsi="黑体" w:eastAsia="黑体" w:cs="黑体"/>
          <w:b/>
          <w:bCs/>
          <w:color w:val="auto"/>
          <w:sz w:val="24"/>
          <w:szCs w:val="24"/>
          <w:lang w:eastAsia="zh-CN"/>
        </w:rPr>
        <w:t>报价</w:t>
      </w:r>
      <w:bookmarkEnd w:id="90"/>
      <w:bookmarkEnd w:id="91"/>
    </w:p>
    <w:p w14:paraId="00D4A85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供应商发生以下条款情况之一者，视为无效报价：</w:t>
      </w:r>
    </w:p>
    <w:p w14:paraId="794AA60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（一）供应商不符合规定的资格条件的；</w:t>
      </w:r>
    </w:p>
    <w:p w14:paraId="3FD17DD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（二）供应商未通过实质性响应审查的；</w:t>
      </w:r>
    </w:p>
    <w:p w14:paraId="62D5982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（三）供应商未在保证金到账截止时间前足额支付保证金的；</w:t>
      </w:r>
    </w:p>
    <w:p w14:paraId="373B752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（四）供应商所提交的响应文件未按“第七篇 响应文件格式要求”要求签署或盖章的；</w:t>
      </w:r>
    </w:p>
    <w:p w14:paraId="7F0A103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（五）供应商的报价超过</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eastAsia="zh-CN"/>
        </w:rPr>
        <w:t>采购预算或最高限价的；</w:t>
      </w:r>
    </w:p>
    <w:p w14:paraId="401DE16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（六）供应商不接受询价小组修正后的价格的；</w:t>
      </w:r>
    </w:p>
    <w:p w14:paraId="555D265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（七）单位负责人为同一人或者存在直接控股、管理关系的不同供应商，参加同一合同项（包）报价的；</w:t>
      </w:r>
    </w:p>
    <w:p w14:paraId="71942C4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（八）为采购项目提供整体设计、规范编制或者项目管理、监理、检测等服务的供应商再参加该采购项目的其他采购活动的；</w:t>
      </w:r>
    </w:p>
    <w:p w14:paraId="5C7439E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（九）同一合同项（包）下的货物，制造商参与报价，再委托其代理商参与报价的；</w:t>
      </w:r>
    </w:p>
    <w:p w14:paraId="71DE01B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（十）供应商响应文件内容有与国家现行法律法规相违背的内容，或附有采购人无法接受条件的；</w:t>
      </w:r>
    </w:p>
    <w:p w14:paraId="6CF5EA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（十一）法律、法规和询价通知书规定的其他无效情形。</w:t>
      </w:r>
      <w:bookmarkStart w:id="92" w:name="_Toc106034793"/>
      <w:bookmarkStart w:id="93" w:name="_Toc28422"/>
      <w:bookmarkStart w:id="94" w:name="_Toc29298"/>
      <w:bookmarkStart w:id="95" w:name="_Toc65660353"/>
      <w:bookmarkStart w:id="96" w:name="_Toc22716"/>
    </w:p>
    <w:p w14:paraId="312D7DF4">
      <w:pPr>
        <w:spacing w:line="360" w:lineRule="auto"/>
        <w:ind w:firstLine="480"/>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四、采购终止</w:t>
      </w:r>
      <w:bookmarkEnd w:id="92"/>
      <w:bookmarkEnd w:id="93"/>
      <w:bookmarkEnd w:id="94"/>
      <w:bookmarkEnd w:id="95"/>
      <w:bookmarkEnd w:id="96"/>
    </w:p>
    <w:p w14:paraId="3945D71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出现下列情形之一的，采购人应当终止询价采购活动，发布项目终止公告并说明原因，重新开展采购活动：</w:t>
      </w:r>
    </w:p>
    <w:p w14:paraId="4758E12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（一）因情况变化，不再符合规定的询价采购方式适用情形的；</w:t>
      </w:r>
    </w:p>
    <w:p w14:paraId="37C2423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（二）出现影响采购公正的违法、违规行为的；</w:t>
      </w:r>
    </w:p>
    <w:p w14:paraId="32727EB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（三）在采购过程中符合竞争要求的供应商或者报价未超过采购预算的供应商不足3家的。</w:t>
      </w:r>
      <w:bookmarkStart w:id="97" w:name="_Toc8916"/>
      <w:bookmarkStart w:id="98" w:name="_Toc65660354"/>
      <w:bookmarkStart w:id="99" w:name="_Toc20055"/>
      <w:bookmarkStart w:id="100" w:name="_Toc106034794"/>
      <w:bookmarkStart w:id="101" w:name="_Toc10768"/>
    </w:p>
    <w:p w14:paraId="6D74D4D3">
      <w:pPr>
        <w:spacing w:line="360" w:lineRule="auto"/>
        <w:ind w:firstLine="480"/>
        <w:jc w:val="both"/>
        <w:rPr>
          <w:rFonts w:hint="eastAsia" w:ascii="仿宋" w:hAnsi="仿宋" w:eastAsia="仿宋" w:cs="仿宋"/>
          <w:color w:val="auto"/>
          <w:sz w:val="24"/>
          <w:szCs w:val="24"/>
          <w:lang w:eastAsia="zh-CN"/>
        </w:rPr>
      </w:pPr>
    </w:p>
    <w:p w14:paraId="36159D63">
      <w:pPr>
        <w:spacing w:line="360" w:lineRule="auto"/>
        <w:ind w:firstLine="480"/>
        <w:jc w:val="both"/>
        <w:rPr>
          <w:rFonts w:hint="eastAsia" w:ascii="仿宋" w:hAnsi="仿宋" w:eastAsia="仿宋" w:cs="仿宋"/>
          <w:color w:val="auto"/>
          <w:sz w:val="24"/>
          <w:szCs w:val="24"/>
          <w:lang w:eastAsia="zh-CN"/>
        </w:rPr>
      </w:pPr>
    </w:p>
    <w:p w14:paraId="7643A6D1">
      <w:pPr>
        <w:spacing w:line="360" w:lineRule="auto"/>
        <w:ind w:firstLine="480"/>
        <w:jc w:val="both"/>
        <w:rPr>
          <w:rFonts w:hint="eastAsia" w:ascii="仿宋" w:hAnsi="仿宋" w:eastAsia="仿宋" w:cs="仿宋"/>
          <w:color w:val="auto"/>
          <w:sz w:val="24"/>
          <w:szCs w:val="24"/>
          <w:lang w:eastAsia="zh-CN"/>
        </w:rPr>
      </w:pPr>
    </w:p>
    <w:p w14:paraId="1C63A78C">
      <w:pPr>
        <w:spacing w:line="360" w:lineRule="auto"/>
        <w:ind w:firstLine="480"/>
        <w:jc w:val="both"/>
        <w:rPr>
          <w:rFonts w:hint="eastAsia" w:ascii="仿宋" w:hAnsi="仿宋" w:eastAsia="仿宋" w:cs="仿宋"/>
          <w:color w:val="auto"/>
          <w:sz w:val="24"/>
          <w:szCs w:val="24"/>
          <w:lang w:eastAsia="zh-CN"/>
        </w:rPr>
      </w:pPr>
    </w:p>
    <w:p w14:paraId="361F7702">
      <w:pPr>
        <w:spacing w:line="360" w:lineRule="auto"/>
        <w:ind w:firstLine="480"/>
        <w:jc w:val="both"/>
        <w:rPr>
          <w:rFonts w:hint="eastAsia" w:ascii="仿宋" w:hAnsi="仿宋" w:eastAsia="仿宋" w:cs="仿宋"/>
          <w:color w:val="auto"/>
          <w:sz w:val="24"/>
          <w:szCs w:val="24"/>
          <w:lang w:eastAsia="zh-CN"/>
        </w:rPr>
      </w:pPr>
    </w:p>
    <w:p w14:paraId="702556B3">
      <w:pPr>
        <w:spacing w:line="360" w:lineRule="auto"/>
        <w:ind w:firstLine="480"/>
        <w:jc w:val="both"/>
        <w:rPr>
          <w:rFonts w:hint="eastAsia" w:ascii="仿宋" w:hAnsi="仿宋" w:eastAsia="仿宋" w:cs="仿宋"/>
          <w:color w:val="auto"/>
          <w:sz w:val="24"/>
          <w:szCs w:val="24"/>
          <w:lang w:eastAsia="zh-CN"/>
        </w:rPr>
      </w:pPr>
    </w:p>
    <w:p w14:paraId="637BFC19">
      <w:pPr>
        <w:spacing w:line="360" w:lineRule="auto"/>
        <w:ind w:firstLine="480"/>
        <w:jc w:val="both"/>
        <w:rPr>
          <w:rFonts w:hint="eastAsia" w:ascii="仿宋" w:hAnsi="仿宋" w:eastAsia="仿宋" w:cs="仿宋"/>
          <w:color w:val="auto"/>
          <w:sz w:val="24"/>
          <w:szCs w:val="24"/>
          <w:lang w:eastAsia="zh-CN"/>
        </w:rPr>
      </w:pPr>
    </w:p>
    <w:p w14:paraId="26833AA7">
      <w:pPr>
        <w:spacing w:line="360" w:lineRule="auto"/>
        <w:ind w:firstLine="480"/>
        <w:jc w:val="both"/>
        <w:rPr>
          <w:rFonts w:hint="eastAsia" w:ascii="仿宋" w:hAnsi="仿宋" w:eastAsia="仿宋" w:cs="仿宋"/>
          <w:color w:val="auto"/>
          <w:sz w:val="24"/>
          <w:szCs w:val="24"/>
          <w:lang w:eastAsia="zh-CN"/>
        </w:rPr>
      </w:pPr>
    </w:p>
    <w:p w14:paraId="136DDDE8">
      <w:pPr>
        <w:spacing w:line="360" w:lineRule="auto"/>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第五篇  供应商须知</w:t>
      </w:r>
      <w:bookmarkEnd w:id="97"/>
      <w:bookmarkEnd w:id="98"/>
      <w:bookmarkEnd w:id="99"/>
      <w:bookmarkEnd w:id="100"/>
      <w:bookmarkEnd w:id="101"/>
    </w:p>
    <w:p w14:paraId="78E6BA76">
      <w:pPr>
        <w:spacing w:line="360" w:lineRule="auto"/>
        <w:ind w:firstLine="481"/>
        <w:jc w:val="both"/>
        <w:rPr>
          <w:rFonts w:hint="eastAsia" w:ascii="黑体" w:hAnsi="黑体" w:eastAsia="黑体" w:cs="黑体"/>
          <w:b/>
          <w:bCs/>
          <w:color w:val="auto"/>
          <w:sz w:val="24"/>
          <w:szCs w:val="24"/>
          <w:lang w:eastAsia="zh-CN"/>
        </w:rPr>
      </w:pPr>
      <w:bookmarkStart w:id="102" w:name="_Toc2864"/>
      <w:bookmarkStart w:id="103" w:name="_Toc5290"/>
      <w:bookmarkStart w:id="104" w:name="_Toc106034795"/>
      <w:bookmarkStart w:id="105" w:name="_Toc16524"/>
      <w:bookmarkStart w:id="106" w:name="_Toc65660355"/>
      <w:r>
        <w:rPr>
          <w:rFonts w:hint="eastAsia" w:ascii="黑体" w:hAnsi="黑体" w:eastAsia="黑体" w:cs="黑体"/>
          <w:b/>
          <w:bCs/>
          <w:color w:val="auto"/>
          <w:sz w:val="24"/>
          <w:szCs w:val="24"/>
          <w:lang w:eastAsia="zh-CN"/>
        </w:rPr>
        <w:t>一、询价费用</w:t>
      </w:r>
      <w:bookmarkEnd w:id="102"/>
      <w:bookmarkEnd w:id="103"/>
      <w:bookmarkEnd w:id="104"/>
      <w:bookmarkEnd w:id="105"/>
      <w:bookmarkEnd w:id="106"/>
    </w:p>
    <w:p w14:paraId="468C2F0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参与报价的供应商应承担其编制响应文件与递交响应文件所涉及的一切费用，不论询价结果如何，采购人在任何情况下无义务也无责任承担这些费用。</w:t>
      </w:r>
      <w:bookmarkStart w:id="107" w:name="_Toc5915"/>
      <w:bookmarkStart w:id="108" w:name="_Toc65660356"/>
      <w:bookmarkStart w:id="109" w:name="_Toc31070"/>
      <w:bookmarkStart w:id="110" w:name="_Toc106034796"/>
      <w:bookmarkStart w:id="111" w:name="_Toc31739"/>
    </w:p>
    <w:p w14:paraId="0AF46088">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二、询价通知书</w:t>
      </w:r>
      <w:bookmarkEnd w:id="107"/>
      <w:bookmarkEnd w:id="108"/>
      <w:bookmarkEnd w:id="109"/>
      <w:bookmarkEnd w:id="110"/>
      <w:bookmarkEnd w:id="111"/>
    </w:p>
    <w:p w14:paraId="5C27FE19">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（一）询价通知书由询价采购邀请书、询价项目技术需求、询价项目服务需求、采购程序、评定成交的标准、无效报价及采购终止、供应商须知、合同草案条款、响应文件格式要求七部分组成。</w:t>
      </w:r>
    </w:p>
    <w:p w14:paraId="054BE3D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（二）采购人所作的一切有效的书面通知、修改及补充，都是询价通知书不可分割的部分。</w:t>
      </w:r>
      <w:bookmarkStart w:id="112" w:name="_Toc65660357"/>
      <w:bookmarkStart w:id="113" w:name="_Toc106034797"/>
      <w:bookmarkStart w:id="114" w:name="_Toc9532"/>
      <w:bookmarkStart w:id="115" w:name="_Toc3061"/>
      <w:bookmarkStart w:id="116" w:name="_Toc1922"/>
    </w:p>
    <w:p w14:paraId="4B718CDF">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三、报价要求</w:t>
      </w:r>
      <w:bookmarkEnd w:id="112"/>
      <w:bookmarkEnd w:id="113"/>
      <w:bookmarkEnd w:id="114"/>
      <w:bookmarkEnd w:id="115"/>
      <w:bookmarkEnd w:id="116"/>
    </w:p>
    <w:p w14:paraId="5E361CF4">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（一）响应文件</w:t>
      </w:r>
    </w:p>
    <w:p w14:paraId="5D01A397">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供应商应当按照询价通知书的要求编制响应文件，并对询价通知书提出的要求和条件作出实质性响应，响应文件原则上采用软面订本。</w:t>
      </w:r>
    </w:p>
    <w:p w14:paraId="22EDC7B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1.响应文件组成</w:t>
      </w:r>
    </w:p>
    <w:p w14:paraId="1713E551">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响应文件由“第七篇  响应文件格式要求”规定的部分和供应商所作的一切有效补充、修改和承诺等文件组成，供应商应按照“第七篇  响应文件格式”规定进行编写和装订，也可在此基础上对表格进行扩展，未规定格式的由供应商自定格式。</w:t>
      </w:r>
    </w:p>
    <w:p w14:paraId="7151177C">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2.报价有效期：响应文件及有关承诺文件有效期为提交文件截止时间起90天。</w:t>
      </w:r>
    </w:p>
    <w:p w14:paraId="4EFEDFB1">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（二）响应保证金</w:t>
      </w:r>
    </w:p>
    <w:p w14:paraId="22D855A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1.供应商提交保证金金额和方式详见“第一篇  五、保证金”；</w:t>
      </w:r>
    </w:p>
    <w:p w14:paraId="605AC507">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2.发生以下情况之一者，保证金不予退还：</w:t>
      </w:r>
    </w:p>
    <w:p w14:paraId="154583D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  供应商在提交响应文件截止时间后撤回响应文件的；</w:t>
      </w:r>
    </w:p>
    <w:p w14:paraId="26DEE6C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  供应商在响应文件中提供虚假材料的；</w:t>
      </w:r>
    </w:p>
    <w:p w14:paraId="50494CAB">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  除因不可抗力或询价通知书认可的情形以外，成交供应商不与采购人签订合同的；</w:t>
      </w:r>
    </w:p>
    <w:p w14:paraId="270F222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2.4  供应商与采购人、其他供应商恶意串通的；</w:t>
      </w:r>
    </w:p>
    <w:p w14:paraId="0A9EDAF6">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2.5  成交供应商不按规定的时间或拒绝按成交状态签订合同[即不按照采购文件确定的合同文本以及采购标的、规格型号、采购金额、采购数量、技术（质量）和服务要求等事项签订采购合同的]。</w:t>
      </w:r>
    </w:p>
    <w:p w14:paraId="0B42D534">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3.保证金的有效期限在报价有效期过后30天继续有效。</w:t>
      </w:r>
    </w:p>
    <w:p w14:paraId="1DF9EA75">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（三）修正错误</w:t>
      </w:r>
    </w:p>
    <w:p w14:paraId="17A457A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若供应商所递交的响应文件或报价中的价格出现大写金额和小写金额不一致的错误，以大写金额修正为准。</w:t>
      </w:r>
    </w:p>
    <w:p w14:paraId="16C48B80">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询价小组或采购人按上述修正错误的原则及方法修正供应商的报价，供应商同意并签署确认后，修正后的报价对供应商具有约束作用。如果供应商不接受修正后的价格，将视为无效报价。</w:t>
      </w:r>
    </w:p>
    <w:p w14:paraId="0D28667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（四）提交响应文件的份数和签署</w:t>
      </w:r>
    </w:p>
    <w:p w14:paraId="61EEFF0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1.响应文件一式贰份，其中正本一份、副本一份。副本可为正本的复印件，应与正本一致，如出现不一致情况以正本为准。</w:t>
      </w:r>
    </w:p>
    <w:p w14:paraId="28BB752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2.在响应文件正本中，询价通知书第七篇响应文件格式中规定签署、盖章的地方必须按其规定签署、盖章。</w:t>
      </w:r>
    </w:p>
    <w:p w14:paraId="3A8B4F49">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3.若供应商对响应文件的错处作必要修改，则应在修改处加盖供应商公章或由法定代表人（或其授权代表）或自然人（供应商为自然人）签署确认。</w:t>
      </w:r>
    </w:p>
    <w:p w14:paraId="0D6D7AB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4.电报、电话、传真形式的响应文件概不接受。</w:t>
      </w:r>
    </w:p>
    <w:p w14:paraId="3C0A689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（五）响应文件的递交</w:t>
      </w:r>
    </w:p>
    <w:p w14:paraId="765C6BE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响应文件的正本、副本均应密封送达报价地点，应在封套上注明询价项目名称、供应商名称。若正本、副本分别进行密封的，还应在封套上注明“正本”、“副本”字样。</w:t>
      </w:r>
    </w:p>
    <w:p w14:paraId="52A5974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（六）响应文件语言：简体中文。</w:t>
      </w:r>
      <w:bookmarkStart w:id="117" w:name="_Toc6242"/>
      <w:bookmarkStart w:id="118" w:name="_Toc14702"/>
      <w:bookmarkStart w:id="119" w:name="_Toc106034798"/>
      <w:bookmarkStart w:id="120" w:name="_Toc65660358"/>
      <w:bookmarkStart w:id="121" w:name="_Toc10172"/>
    </w:p>
    <w:p w14:paraId="35AA38F8">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四、成交供应商的确定和变更</w:t>
      </w:r>
      <w:bookmarkEnd w:id="117"/>
      <w:bookmarkEnd w:id="118"/>
      <w:bookmarkEnd w:id="119"/>
      <w:bookmarkEnd w:id="120"/>
      <w:bookmarkEnd w:id="121"/>
    </w:p>
    <w:p w14:paraId="5E584D52">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采购人应当在评审结束后2个工作日内确认评审报告。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C9B2AB6">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（二）成交供应商的变更</w:t>
      </w:r>
    </w:p>
    <w:p w14:paraId="67C285D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C95A7E1">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2.成交供应商无充分理由放弃成交的，采购人将向同级财政部门报告，财政部门将根据相关法律法规的规定进行处理。</w:t>
      </w:r>
      <w:bookmarkStart w:id="122" w:name="_Toc106034799"/>
      <w:bookmarkStart w:id="123" w:name="_Toc1092"/>
      <w:bookmarkStart w:id="124" w:name="_Toc29821"/>
      <w:bookmarkStart w:id="125" w:name="_Toc10504"/>
      <w:bookmarkStart w:id="126" w:name="_Toc65660359"/>
    </w:p>
    <w:p w14:paraId="0456389C">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五、成交通知</w:t>
      </w:r>
      <w:bookmarkEnd w:id="122"/>
      <w:bookmarkEnd w:id="123"/>
      <w:bookmarkEnd w:id="124"/>
      <w:bookmarkEnd w:id="125"/>
      <w:bookmarkEnd w:id="126"/>
    </w:p>
    <w:p w14:paraId="7AC6724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（一）成交供应商确定后，采购人发布成交结果公告。</w:t>
      </w:r>
    </w:p>
    <w:p w14:paraId="2A1B74E0">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（二）结果公告发出同时，采购人将以书面形式发出《成交通知书》。《成交通知书》一经发出即发生法律效力。</w:t>
      </w:r>
    </w:p>
    <w:p w14:paraId="7A5F6FBE">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（三）《成交通知书》将作为签订合同的依据。</w:t>
      </w:r>
      <w:bookmarkStart w:id="127" w:name="_Toc1010"/>
      <w:bookmarkStart w:id="128" w:name="_Toc106034800"/>
      <w:bookmarkStart w:id="129" w:name="_Toc30909"/>
      <w:bookmarkStart w:id="130" w:name="_Toc31082"/>
      <w:bookmarkStart w:id="131" w:name="_Toc65660360"/>
    </w:p>
    <w:p w14:paraId="3A4EB8F8">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六、关于质疑和投诉</w:t>
      </w:r>
      <w:bookmarkEnd w:id="127"/>
      <w:bookmarkEnd w:id="128"/>
      <w:bookmarkEnd w:id="129"/>
      <w:bookmarkEnd w:id="130"/>
      <w:bookmarkEnd w:id="131"/>
    </w:p>
    <w:p w14:paraId="791AE020">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（一）质疑</w:t>
      </w:r>
    </w:p>
    <w:p w14:paraId="17152A42">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供应商认为采购文件、采购过程和成交结果使自己的权益收到伤害的，可向采购人以书面形式提出质疑。</w:t>
      </w:r>
    </w:p>
    <w:p w14:paraId="2202D88E">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提出质疑的应当是参与所质疑项目采购活动的供应商。</w:t>
      </w:r>
    </w:p>
    <w:p w14:paraId="623A8A5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1.质疑时限、内容</w:t>
      </w:r>
    </w:p>
    <w:p w14:paraId="7ADAF64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  供应商认为采购文件、采购过程、成交结果使自己的权益受到损害的，可以在知道或者应知其权益受到损害之日起7个工作日内，以书面形式向采购人提出质疑。</w:t>
      </w:r>
    </w:p>
    <w:p w14:paraId="3D26586F">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  供应商提出质疑应当提交质疑函和必要的证明材料，质疑函应当包括下列内容：</w:t>
      </w:r>
    </w:p>
    <w:p w14:paraId="031B69F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1.2.1  供应商的姓名或者名称、地址、邮编、联系人及联系电话；</w:t>
      </w:r>
    </w:p>
    <w:p w14:paraId="4DBD5284">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1.2.2  质疑项目的项目名称、项目号以及采购执行编号；</w:t>
      </w:r>
    </w:p>
    <w:p w14:paraId="731382B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1.2.3  具体、明确的质疑事项和与质疑事项相关的请求；</w:t>
      </w:r>
    </w:p>
    <w:p w14:paraId="4E8ACBD9">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1.2.4  事实依据；</w:t>
      </w:r>
    </w:p>
    <w:p w14:paraId="3DBB192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1.2.5  必要的法律依据；</w:t>
      </w:r>
    </w:p>
    <w:p w14:paraId="4DC1A8E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1.2.6  提出质疑的日期；</w:t>
      </w:r>
    </w:p>
    <w:p w14:paraId="197A037C">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1.2.7  营业执照（或事业单位法人证书，或个体工商户营业执照或有效的自然人身份证明）复印件；</w:t>
      </w:r>
    </w:p>
    <w:p w14:paraId="78E463C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1.2.8  法定代表人授权委托书原件、法定代表人身份证复印件和其授权代表的身份证复印件（供应商为自然人的提供自然人身份证复印件）；</w:t>
      </w:r>
    </w:p>
    <w:p w14:paraId="6CD541F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  供应商为自然人的，质疑函应当由本人签字；供应商为法人或者其他组织的，质疑函应当由法定代表人、主要负责人，或者其授权代表签字或者盖章，并加盖公章。</w:t>
      </w:r>
    </w:p>
    <w:p w14:paraId="4C510EE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2.质疑答复</w:t>
      </w:r>
    </w:p>
    <w:p w14:paraId="5CB684B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采购人应当在收到供应商的书面质疑后7个工作日内作出答复，并以书面形式通知质疑供应商和其他有关供应商。</w:t>
      </w:r>
    </w:p>
    <w:p w14:paraId="610E72E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3.其他</w:t>
      </w:r>
    </w:p>
    <w:p w14:paraId="025A6BD3">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3.1  供应商应按照相关法律法规要求，在法定质疑期内一次性提出针对同一采购程序环节的质疑。</w:t>
      </w:r>
    </w:p>
    <w:p w14:paraId="61E72CB5">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（二）投诉</w:t>
      </w:r>
    </w:p>
    <w:p w14:paraId="7CAAF84A">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1.供应商对采购人的答复不满意，或者采购人在规定时间内作出答复的，可以在答复期满后15个工作日内按照相关法律法规向有关部门提起投诉。</w:t>
      </w:r>
    </w:p>
    <w:p w14:paraId="46042C3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2.供应商应按照相关法律法规要求递交投诉书和必要的证明材料。</w:t>
      </w:r>
    </w:p>
    <w:p w14:paraId="2921F5A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6D9EB2D">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4.在确定受理投诉后，财政部门自受理投诉之日起30个工作日内（需要检验、检测、鉴定、专家评审以及需要投诉人补正材料的，所需时间不计算在投诉处理期限内）对投诉事项做出处理决定。</w:t>
      </w:r>
      <w:bookmarkStart w:id="132" w:name="_Toc106034801"/>
      <w:bookmarkStart w:id="133" w:name="_Toc16648"/>
      <w:bookmarkStart w:id="134" w:name="_Toc3127"/>
      <w:bookmarkStart w:id="135" w:name="_Toc23778"/>
      <w:bookmarkStart w:id="136" w:name="_Toc65660361"/>
    </w:p>
    <w:p w14:paraId="411FD937">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七、签订合同</w:t>
      </w:r>
      <w:bookmarkEnd w:id="132"/>
      <w:bookmarkEnd w:id="133"/>
      <w:bookmarkEnd w:id="134"/>
      <w:bookmarkEnd w:id="135"/>
      <w:bookmarkEnd w:id="136"/>
    </w:p>
    <w:p w14:paraId="7DDCF1D6">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采购人原则上应在成交通知书发出之日起5个工作日内和成交供应商签订采购合同，无正当理由不得拒绝或拖延合同签订。所签订的合同不得对询价通知书和供应商的响应文件作实质性修改。其他未尽事宜由采购人和成交供应商在采购合同中详细约定。</w:t>
      </w:r>
    </w:p>
    <w:p w14:paraId="20369D4C">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（二）询价通知书、供应商的响应文件及澄清文件等，均为签订采购合同的依据。</w:t>
      </w:r>
    </w:p>
    <w:p w14:paraId="6A3D3E81">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（三）合同生效条款由供需双方约定，法律、行政法规规定应当办理批准、登记等手续后生效的合同，依照其规定。</w:t>
      </w:r>
    </w:p>
    <w:p w14:paraId="4A93C928">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（四）成交供应商未按照询价通知书确定的事项签订合同，或者与采购人另行订立背离合同实质性内容协议的，将承担相关法律责任。</w:t>
      </w:r>
    </w:p>
    <w:p w14:paraId="2298EBC2">
      <w:pPr>
        <w:spacing w:line="360" w:lineRule="auto"/>
        <w:ind w:firstLine="481"/>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（五）采购人要求成交供应商提供履约保证金的，应当在询价通知书中予以约定。成交供应商履约完毕后，采购人根据采购文件规定无息退还其履约保证金。</w:t>
      </w:r>
      <w:bookmarkStart w:id="137" w:name="_Toc65660362"/>
      <w:bookmarkStart w:id="138" w:name="_Toc29513"/>
      <w:bookmarkStart w:id="139" w:name="_Toc32594"/>
      <w:bookmarkStart w:id="140" w:name="_Toc2438"/>
      <w:bookmarkStart w:id="141" w:name="_Toc106034803"/>
    </w:p>
    <w:p w14:paraId="5F993E5A">
      <w:pPr>
        <w:spacing w:line="360" w:lineRule="auto"/>
        <w:ind w:firstLine="481"/>
        <w:jc w:val="both"/>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八、招标服务费</w:t>
      </w:r>
      <w:bookmarkEnd w:id="137"/>
      <w:bookmarkEnd w:id="138"/>
      <w:bookmarkEnd w:id="139"/>
      <w:bookmarkEnd w:id="140"/>
      <w:bookmarkEnd w:id="141"/>
      <w:bookmarkStart w:id="142" w:name="_Toc65660363"/>
      <w:bookmarkStart w:id="143" w:name="_Toc4867"/>
      <w:bookmarkStart w:id="144" w:name="_Toc15521"/>
      <w:bookmarkStart w:id="145" w:name="_Toc106034804"/>
      <w:bookmarkStart w:id="146" w:name="_Toc9730"/>
    </w:p>
    <w:p w14:paraId="14F9EA79">
      <w:pPr>
        <w:spacing w:line="360" w:lineRule="auto"/>
        <w:ind w:firstLine="481"/>
        <w:jc w:val="both"/>
        <w:rPr>
          <w:rFonts w:hint="eastAsia" w:ascii="仿宋" w:hAnsi="仿宋" w:eastAsia="仿宋" w:cs="仿宋"/>
          <w:color w:val="auto"/>
          <w:sz w:val="24"/>
          <w:szCs w:val="24"/>
          <w:lang w:eastAsia="zh-CN"/>
        </w:rPr>
        <w:sectPr>
          <w:footerReference r:id="rId6" w:type="default"/>
          <w:footerReference r:id="rId7" w:type="even"/>
          <w:pgSz w:w="11906" w:h="16839"/>
          <w:pgMar w:top="1417" w:right="1417" w:bottom="1417" w:left="1417" w:header="0" w:footer="853" w:gutter="0"/>
          <w:pgNumType w:fmt="numberInDash"/>
          <w:cols w:space="720" w:num="1"/>
        </w:sectPr>
      </w:pPr>
      <w:r>
        <w:rPr>
          <w:rFonts w:hint="eastAsia" w:ascii="仿宋" w:hAnsi="仿宋" w:eastAsia="仿宋" w:cs="仿宋"/>
          <w:color w:val="auto"/>
          <w:sz w:val="24"/>
          <w:szCs w:val="24"/>
          <w:lang w:eastAsia="zh-CN"/>
        </w:rPr>
        <w:t>招标服务费3,000.00元，由成交供应商在领取“成交通知书”前一次性支付给采购人招投标办公室。</w:t>
      </w:r>
      <w:bookmarkEnd w:id="142"/>
      <w:bookmarkEnd w:id="143"/>
      <w:bookmarkEnd w:id="144"/>
      <w:bookmarkEnd w:id="145"/>
      <w:bookmarkEnd w:id="146"/>
    </w:p>
    <w:p w14:paraId="52A4ED63">
      <w:pPr>
        <w:spacing w:line="360" w:lineRule="auto"/>
        <w:jc w:val="center"/>
        <w:rPr>
          <w:rFonts w:hint="eastAsia" w:ascii="黑体" w:hAnsi="黑体" w:eastAsia="黑体" w:cs="黑体"/>
          <w:b/>
          <w:bCs/>
          <w:color w:val="auto"/>
          <w:sz w:val="32"/>
          <w:szCs w:val="32"/>
          <w:lang w:eastAsia="zh-CN"/>
        </w:rPr>
      </w:pPr>
      <w:bookmarkStart w:id="147" w:name="bookmark34"/>
      <w:bookmarkEnd w:id="147"/>
      <w:bookmarkStart w:id="148" w:name="bookmark35"/>
      <w:bookmarkEnd w:id="148"/>
      <w:bookmarkStart w:id="149" w:name="_Toc12789059"/>
      <w:bookmarkStart w:id="150" w:name="_Toc11641055"/>
      <w:bookmarkStart w:id="151" w:name="_Toc106034806"/>
      <w:bookmarkStart w:id="152" w:name="_Toc65660365"/>
      <w:bookmarkStart w:id="153" w:name="_Toc28162"/>
      <w:bookmarkStart w:id="154" w:name="_Toc10599"/>
      <w:bookmarkStart w:id="155" w:name="_Toc14861"/>
      <w:r>
        <w:rPr>
          <w:rFonts w:hint="eastAsia" w:ascii="黑体" w:hAnsi="黑体" w:eastAsia="黑体" w:cs="黑体"/>
          <w:b/>
          <w:bCs/>
          <w:color w:val="auto"/>
          <w:sz w:val="32"/>
          <w:szCs w:val="32"/>
          <w:lang w:eastAsia="zh-CN"/>
        </w:rPr>
        <w:t xml:space="preserve">第六篇   </w:t>
      </w:r>
      <w:bookmarkEnd w:id="149"/>
      <w:bookmarkEnd w:id="150"/>
      <w:r>
        <w:rPr>
          <w:rFonts w:hint="eastAsia" w:ascii="黑体" w:hAnsi="黑体" w:eastAsia="黑体" w:cs="黑体"/>
          <w:b/>
          <w:bCs/>
          <w:color w:val="auto"/>
          <w:sz w:val="32"/>
          <w:szCs w:val="32"/>
          <w:lang w:eastAsia="zh-CN"/>
        </w:rPr>
        <w:t>合同草案条款</w:t>
      </w:r>
      <w:bookmarkEnd w:id="151"/>
      <w:bookmarkEnd w:id="152"/>
      <w:bookmarkEnd w:id="153"/>
      <w:bookmarkEnd w:id="154"/>
      <w:bookmarkEnd w:id="155"/>
    </w:p>
    <w:p w14:paraId="1C33C91B">
      <w:pPr>
        <w:spacing w:line="360" w:lineRule="auto"/>
        <w:jc w:val="both"/>
        <w:rPr>
          <w:rFonts w:hint="eastAsia" w:ascii="仿宋" w:hAnsi="仿宋" w:eastAsia="仿宋" w:cs="仿宋"/>
          <w:color w:val="auto"/>
          <w:sz w:val="24"/>
          <w:szCs w:val="24"/>
          <w:lang w:eastAsia="zh-CN"/>
        </w:rPr>
      </w:pPr>
    </w:p>
    <w:p w14:paraId="09B6D7FE">
      <w:pPr>
        <w:spacing w:line="360" w:lineRule="auto"/>
        <w:jc w:val="both"/>
        <w:rPr>
          <w:rFonts w:hint="eastAsia" w:ascii="仿宋" w:hAnsi="仿宋" w:eastAsia="仿宋" w:cs="仿宋"/>
          <w:color w:val="auto"/>
          <w:sz w:val="24"/>
          <w:szCs w:val="24"/>
          <w:lang w:eastAsia="zh-CN"/>
        </w:rPr>
        <w:sectPr>
          <w:footerReference r:id="rId8" w:type="default"/>
          <w:footerReference r:id="rId9" w:type="even"/>
          <w:pgSz w:w="11907" w:h="16840"/>
          <w:pgMar w:top="1417" w:right="1417" w:bottom="1417" w:left="1417" w:header="964" w:footer="992" w:gutter="0"/>
          <w:pgNumType w:fmt="numberInDash"/>
          <w:cols w:space="720" w:num="1"/>
          <w:docGrid w:linePitch="312" w:charSpace="0"/>
        </w:sectPr>
      </w:pPr>
    </w:p>
    <w:p w14:paraId="6B49B3EA">
      <w:pPr>
        <w:widowControl w:val="0"/>
        <w:kinsoku/>
        <w:autoSpaceDE/>
        <w:autoSpaceDN/>
        <w:adjustRightInd/>
        <w:snapToGrid/>
        <w:spacing w:line="500" w:lineRule="exact"/>
        <w:jc w:val="center"/>
        <w:textAlignment w:val="auto"/>
        <w:rPr>
          <w:rFonts w:ascii="Times New Roman" w:hAnsi="Times New Roman" w:eastAsia="方正小标宋_GBK" w:cs="Times New Roman"/>
          <w:b/>
          <w:snapToGrid/>
          <w:color w:val="1C1F23"/>
          <w:kern w:val="2"/>
          <w:sz w:val="40"/>
          <w:szCs w:val="40"/>
          <w:shd w:val="clear" w:color="auto" w:fill="FFFFFF"/>
          <w:lang w:eastAsia="zh-CN"/>
        </w:rPr>
      </w:pPr>
      <w:r>
        <w:rPr>
          <w:rFonts w:ascii="Times New Roman" w:hAnsi="Times New Roman" w:eastAsia="方正小标宋_GBK" w:cs="Times New Roman"/>
          <w:b/>
          <w:snapToGrid/>
          <w:color w:val="1C1F23"/>
          <w:kern w:val="2"/>
          <w:sz w:val="40"/>
          <w:szCs w:val="40"/>
          <w:shd w:val="clear" w:color="auto" w:fill="FFFFFF"/>
          <w:lang w:eastAsia="zh-CN"/>
        </w:rPr>
        <w:t>重庆理工职业学院</w:t>
      </w:r>
    </w:p>
    <w:p w14:paraId="0587F932">
      <w:pPr>
        <w:keepNext/>
        <w:keepLines/>
        <w:widowControl w:val="0"/>
        <w:kinsoku/>
        <w:autoSpaceDE/>
        <w:autoSpaceDN/>
        <w:adjustRightInd/>
        <w:snapToGrid/>
        <w:spacing w:line="360" w:lineRule="auto"/>
        <w:jc w:val="center"/>
        <w:textAlignment w:val="auto"/>
        <w:outlineLvl w:val="2"/>
        <w:rPr>
          <w:rFonts w:ascii="Times New Roman" w:hAnsi="Times New Roman" w:eastAsia="方正小标宋_GBK" w:cs="Times New Roman"/>
          <w:b/>
          <w:bCs/>
          <w:snapToGrid/>
          <w:color w:val="1C1F23"/>
          <w:kern w:val="2"/>
          <w:sz w:val="40"/>
          <w:szCs w:val="40"/>
          <w:shd w:val="clear" w:color="auto" w:fill="FFFFFF"/>
          <w:lang w:val="sq-AL" w:eastAsia="zh-CN"/>
        </w:rPr>
      </w:pPr>
      <w:r>
        <w:rPr>
          <w:rFonts w:ascii="Times New Roman" w:hAnsi="Times New Roman" w:eastAsia="方正小标宋_GBK" w:cs="Times New Roman"/>
          <w:b/>
          <w:bCs/>
          <w:snapToGrid/>
          <w:color w:val="1C1F23"/>
          <w:kern w:val="2"/>
          <w:sz w:val="40"/>
          <w:szCs w:val="40"/>
          <w:shd w:val="clear" w:color="auto" w:fill="FFFFFF"/>
          <w:lang w:val="sq-AL" w:eastAsia="zh-CN"/>
        </w:rPr>
        <w:t xml:space="preserve">国际楼 </w:t>
      </w:r>
      <w:r>
        <w:rPr>
          <w:rFonts w:hint="eastAsia" w:ascii="Times New Roman" w:hAnsi="Times New Roman" w:eastAsia="方正小标宋_GBK" w:cs="Times New Roman"/>
          <w:b/>
          <w:bCs/>
          <w:snapToGrid/>
          <w:color w:val="1C1F23"/>
          <w:kern w:val="2"/>
          <w:sz w:val="40"/>
          <w:szCs w:val="40"/>
          <w:shd w:val="clear" w:color="auto" w:fill="FFFFFF"/>
          <w:lang w:eastAsia="zh-CN"/>
        </w:rPr>
        <w:t>4</w:t>
      </w:r>
      <w:r>
        <w:rPr>
          <w:rFonts w:ascii="Times New Roman" w:hAnsi="Times New Roman" w:eastAsia="方正小标宋_GBK" w:cs="Times New Roman"/>
          <w:b/>
          <w:bCs/>
          <w:snapToGrid/>
          <w:color w:val="1C1F23"/>
          <w:kern w:val="2"/>
          <w:sz w:val="40"/>
          <w:szCs w:val="40"/>
          <w:shd w:val="clear" w:color="auto" w:fill="FFFFFF"/>
          <w:lang w:val="sq-AL" w:eastAsia="zh-CN"/>
        </w:rPr>
        <w:t xml:space="preserve"> - 1</w:t>
      </w:r>
      <w:r>
        <w:rPr>
          <w:rFonts w:hint="eastAsia" w:ascii="Times New Roman" w:hAnsi="Times New Roman" w:eastAsia="方正小标宋_GBK" w:cs="Times New Roman"/>
          <w:b/>
          <w:bCs/>
          <w:snapToGrid/>
          <w:color w:val="1C1F23"/>
          <w:kern w:val="2"/>
          <w:sz w:val="40"/>
          <w:szCs w:val="40"/>
          <w:shd w:val="clear" w:color="auto" w:fill="FFFFFF"/>
          <w:lang w:eastAsia="zh-CN"/>
        </w:rPr>
        <w:t>3</w:t>
      </w:r>
      <w:r>
        <w:rPr>
          <w:rFonts w:ascii="Times New Roman" w:hAnsi="Times New Roman" w:eastAsia="方正小标宋_GBK" w:cs="Times New Roman"/>
          <w:b/>
          <w:bCs/>
          <w:snapToGrid/>
          <w:color w:val="1C1F23"/>
          <w:kern w:val="2"/>
          <w:sz w:val="40"/>
          <w:szCs w:val="40"/>
          <w:shd w:val="clear" w:color="auto" w:fill="FFFFFF"/>
          <w:lang w:val="sq-AL" w:eastAsia="zh-CN"/>
        </w:rPr>
        <w:t xml:space="preserve"> 楼学生公寓</w:t>
      </w:r>
      <w:r>
        <w:rPr>
          <w:rFonts w:hint="eastAsia" w:ascii="Times New Roman" w:hAnsi="Times New Roman" w:eastAsia="方正小标宋_GBK" w:cs="Times New Roman"/>
          <w:b/>
          <w:bCs/>
          <w:snapToGrid/>
          <w:color w:val="1C1F23"/>
          <w:kern w:val="2"/>
          <w:sz w:val="40"/>
          <w:szCs w:val="40"/>
          <w:shd w:val="clear" w:color="auto" w:fill="FFFFFF"/>
          <w:lang w:val="sq-AL" w:eastAsia="zh-CN"/>
        </w:rPr>
        <w:t>及</w:t>
      </w:r>
      <w:r>
        <w:rPr>
          <w:rFonts w:hint="eastAsia" w:ascii="Times New Roman" w:hAnsi="Times New Roman" w:eastAsia="方正小标宋_GBK" w:cs="Times New Roman"/>
          <w:b/>
          <w:bCs/>
          <w:snapToGrid/>
          <w:color w:val="1C1F23"/>
          <w:kern w:val="2"/>
          <w:sz w:val="40"/>
          <w:szCs w:val="40"/>
          <w:shd w:val="clear" w:color="auto" w:fill="FFFFFF"/>
          <w:lang w:eastAsia="zh-CN"/>
        </w:rPr>
        <w:t>3楼厕所</w:t>
      </w:r>
      <w:r>
        <w:rPr>
          <w:rFonts w:ascii="Times New Roman" w:hAnsi="Times New Roman" w:eastAsia="方正小标宋_GBK" w:cs="Times New Roman"/>
          <w:b/>
          <w:bCs/>
          <w:snapToGrid/>
          <w:color w:val="1C1F23"/>
          <w:kern w:val="2"/>
          <w:sz w:val="40"/>
          <w:szCs w:val="40"/>
          <w:shd w:val="clear" w:color="auto" w:fill="FFFFFF"/>
          <w:lang w:val="sq-AL" w:eastAsia="zh-CN"/>
        </w:rPr>
        <w:t>装修改造工程</w:t>
      </w:r>
    </w:p>
    <w:p w14:paraId="4C6F96E8">
      <w:pPr>
        <w:widowControl w:val="0"/>
        <w:kinsoku/>
        <w:autoSpaceDE/>
        <w:autoSpaceDN/>
        <w:adjustRightInd/>
        <w:snapToGrid/>
        <w:jc w:val="both"/>
        <w:textAlignment w:val="auto"/>
        <w:rPr>
          <w:rFonts w:ascii="Times New Roman" w:hAnsi="Times New Roman" w:eastAsia="宋体" w:cs="Times New Roman"/>
          <w:snapToGrid/>
          <w:color w:val="auto"/>
          <w:kern w:val="2"/>
          <w:szCs w:val="24"/>
          <w:lang w:val="sq-AL" w:eastAsia="zh-CN"/>
        </w:rPr>
      </w:pPr>
    </w:p>
    <w:p w14:paraId="6FFD0E68">
      <w:pPr>
        <w:widowControl w:val="0"/>
        <w:kinsoku/>
        <w:autoSpaceDE/>
        <w:autoSpaceDN/>
        <w:adjustRightInd/>
        <w:snapToGrid/>
        <w:spacing w:after="120"/>
        <w:jc w:val="both"/>
        <w:textAlignment w:val="auto"/>
        <w:rPr>
          <w:rFonts w:ascii="Times New Roman" w:hAnsi="Times New Roman" w:eastAsia="宋体" w:cs="Times New Roman"/>
          <w:snapToGrid/>
          <w:color w:val="auto"/>
          <w:kern w:val="2"/>
          <w:szCs w:val="24"/>
          <w:lang w:val="sq-AL" w:eastAsia="zh-CN"/>
        </w:rPr>
      </w:pPr>
    </w:p>
    <w:p w14:paraId="5A1E9A99">
      <w:pPr>
        <w:widowControl w:val="0"/>
        <w:kinsoku/>
        <w:autoSpaceDE/>
        <w:autoSpaceDN/>
        <w:adjustRightInd/>
        <w:snapToGrid/>
        <w:ind w:firstLine="3614" w:firstLineChars="500"/>
        <w:jc w:val="both"/>
        <w:textAlignment w:val="auto"/>
        <w:rPr>
          <w:rFonts w:ascii="Times New Roman" w:hAnsi="Times New Roman" w:eastAsia="方正小标宋_GBK" w:cs="Times New Roman"/>
          <w:b/>
          <w:snapToGrid/>
          <w:color w:val="auto"/>
          <w:kern w:val="2"/>
          <w:sz w:val="72"/>
          <w:szCs w:val="72"/>
          <w:lang w:eastAsia="zh-CN"/>
        </w:rPr>
      </w:pPr>
      <w:r>
        <w:rPr>
          <w:rFonts w:ascii="Times New Roman" w:hAnsi="Times New Roman" w:eastAsia="方正小标宋_GBK" w:cs="Times New Roman"/>
          <w:b/>
          <w:snapToGrid/>
          <w:color w:val="auto"/>
          <w:kern w:val="2"/>
          <w:sz w:val="72"/>
          <w:szCs w:val="72"/>
          <w:lang w:eastAsia="zh-CN"/>
        </w:rPr>
        <w:t>建</w:t>
      </w:r>
    </w:p>
    <w:p w14:paraId="631DD24C">
      <w:pPr>
        <w:widowControl w:val="0"/>
        <w:kinsoku/>
        <w:autoSpaceDE/>
        <w:autoSpaceDN/>
        <w:adjustRightInd/>
        <w:snapToGrid/>
        <w:ind w:firstLine="3614" w:firstLineChars="500"/>
        <w:jc w:val="both"/>
        <w:textAlignment w:val="auto"/>
        <w:rPr>
          <w:rFonts w:ascii="Times New Roman" w:hAnsi="Times New Roman" w:eastAsia="方正小标宋_GBK" w:cs="Times New Roman"/>
          <w:b/>
          <w:snapToGrid/>
          <w:color w:val="auto"/>
          <w:kern w:val="2"/>
          <w:sz w:val="72"/>
          <w:szCs w:val="72"/>
          <w:lang w:eastAsia="zh-CN"/>
        </w:rPr>
      </w:pPr>
      <w:r>
        <w:rPr>
          <w:rFonts w:ascii="Times New Roman" w:hAnsi="Times New Roman" w:eastAsia="方正小标宋_GBK" w:cs="Times New Roman"/>
          <w:b/>
          <w:snapToGrid/>
          <w:color w:val="auto"/>
          <w:kern w:val="2"/>
          <w:sz w:val="72"/>
          <w:szCs w:val="72"/>
          <w:lang w:eastAsia="zh-CN"/>
        </w:rPr>
        <w:t>设</w:t>
      </w:r>
    </w:p>
    <w:p w14:paraId="0A198AF9">
      <w:pPr>
        <w:widowControl w:val="0"/>
        <w:kinsoku/>
        <w:autoSpaceDE/>
        <w:autoSpaceDN/>
        <w:adjustRightInd/>
        <w:snapToGrid/>
        <w:ind w:firstLine="3614" w:firstLineChars="500"/>
        <w:jc w:val="both"/>
        <w:textAlignment w:val="auto"/>
        <w:rPr>
          <w:rFonts w:ascii="Times New Roman" w:hAnsi="Times New Roman" w:eastAsia="方正小标宋_GBK" w:cs="Times New Roman"/>
          <w:b/>
          <w:snapToGrid/>
          <w:color w:val="FF0000"/>
          <w:kern w:val="2"/>
          <w:sz w:val="72"/>
          <w:szCs w:val="72"/>
          <w:lang w:eastAsia="zh-CN"/>
        </w:rPr>
      </w:pPr>
      <w:r>
        <w:rPr>
          <w:rFonts w:ascii="Times New Roman" w:hAnsi="Times New Roman" w:eastAsia="方正小标宋_GBK" w:cs="Times New Roman"/>
          <w:b/>
          <w:snapToGrid/>
          <w:color w:val="auto"/>
          <w:kern w:val="2"/>
          <w:sz w:val="72"/>
          <w:szCs w:val="72"/>
          <w:lang w:eastAsia="zh-CN"/>
        </w:rPr>
        <w:t>合</w:t>
      </w:r>
    </w:p>
    <w:p w14:paraId="10F53260">
      <w:pPr>
        <w:widowControl w:val="0"/>
        <w:kinsoku/>
        <w:autoSpaceDE/>
        <w:autoSpaceDN/>
        <w:adjustRightInd/>
        <w:snapToGrid/>
        <w:ind w:firstLine="3614" w:firstLineChars="500"/>
        <w:jc w:val="both"/>
        <w:textAlignment w:val="auto"/>
        <w:rPr>
          <w:rFonts w:ascii="Times New Roman" w:hAnsi="Times New Roman" w:eastAsia="方正小标宋_GBK" w:cs="Times New Roman"/>
          <w:b/>
          <w:snapToGrid/>
          <w:color w:val="auto"/>
          <w:kern w:val="2"/>
          <w:sz w:val="72"/>
          <w:szCs w:val="72"/>
          <w:lang w:eastAsia="zh-CN"/>
        </w:rPr>
      </w:pPr>
      <w:r>
        <w:rPr>
          <w:rFonts w:ascii="Times New Roman" w:hAnsi="Times New Roman" w:eastAsia="方正小标宋_GBK" w:cs="Times New Roman"/>
          <w:b/>
          <w:snapToGrid/>
          <w:color w:val="auto"/>
          <w:kern w:val="2"/>
          <w:sz w:val="72"/>
          <w:szCs w:val="72"/>
          <w:lang w:eastAsia="zh-CN"/>
        </w:rPr>
        <w:t>同</w:t>
      </w:r>
    </w:p>
    <w:p w14:paraId="299A3E08">
      <w:pPr>
        <w:widowControl w:val="0"/>
        <w:kinsoku/>
        <w:autoSpaceDE/>
        <w:autoSpaceDN/>
        <w:adjustRightInd/>
        <w:snapToGrid/>
        <w:jc w:val="center"/>
        <w:textAlignment w:val="auto"/>
        <w:rPr>
          <w:rFonts w:ascii="Times New Roman" w:hAnsi="Times New Roman" w:eastAsia="宋体" w:cs="Times New Roman"/>
          <w:b/>
          <w:snapToGrid/>
          <w:color w:val="auto"/>
          <w:kern w:val="2"/>
          <w:sz w:val="24"/>
          <w:szCs w:val="24"/>
          <w:lang w:eastAsia="zh-CN"/>
        </w:rPr>
      </w:pPr>
    </w:p>
    <w:p w14:paraId="1D4A7261">
      <w:pPr>
        <w:widowControl w:val="0"/>
        <w:kinsoku/>
        <w:autoSpaceDE/>
        <w:autoSpaceDN/>
        <w:adjustRightInd/>
        <w:snapToGrid/>
        <w:jc w:val="center"/>
        <w:textAlignment w:val="auto"/>
        <w:rPr>
          <w:rFonts w:ascii="Times New Roman" w:hAnsi="Times New Roman" w:eastAsia="宋体" w:cs="Times New Roman"/>
          <w:b/>
          <w:snapToGrid/>
          <w:color w:val="auto"/>
          <w:kern w:val="2"/>
          <w:sz w:val="24"/>
          <w:szCs w:val="24"/>
          <w:lang w:eastAsia="zh-CN"/>
        </w:rPr>
      </w:pPr>
    </w:p>
    <w:p w14:paraId="4C12B2ED">
      <w:pPr>
        <w:keepNext/>
        <w:keepLines/>
        <w:widowControl w:val="0"/>
        <w:kinsoku/>
        <w:autoSpaceDE/>
        <w:autoSpaceDN/>
        <w:adjustRightInd/>
        <w:snapToGrid/>
        <w:spacing w:line="360" w:lineRule="auto"/>
        <w:jc w:val="both"/>
        <w:textAlignment w:val="auto"/>
        <w:outlineLvl w:val="2"/>
        <w:rPr>
          <w:rFonts w:ascii="Times New Roman" w:hAnsi="Times New Roman" w:eastAsia="宋体" w:cs="Times New Roman"/>
          <w:bCs/>
          <w:snapToGrid/>
          <w:color w:val="auto"/>
          <w:kern w:val="2"/>
          <w:sz w:val="28"/>
          <w:szCs w:val="32"/>
          <w:lang w:val="sq-AL" w:eastAsia="zh-CN"/>
        </w:rPr>
      </w:pPr>
    </w:p>
    <w:p w14:paraId="04671713">
      <w:pPr>
        <w:widowControl w:val="0"/>
        <w:kinsoku/>
        <w:autoSpaceDE/>
        <w:autoSpaceDN/>
        <w:adjustRightInd/>
        <w:snapToGrid/>
        <w:jc w:val="both"/>
        <w:textAlignment w:val="auto"/>
        <w:rPr>
          <w:rFonts w:ascii="Times New Roman" w:hAnsi="Times New Roman" w:eastAsia="宋体" w:cs="Times New Roman"/>
          <w:snapToGrid/>
          <w:color w:val="auto"/>
          <w:kern w:val="2"/>
          <w:szCs w:val="24"/>
          <w:lang w:val="sq-AL" w:eastAsia="zh-CN"/>
        </w:rPr>
      </w:pPr>
    </w:p>
    <w:p w14:paraId="01ECF9BD">
      <w:pPr>
        <w:widowControl w:val="0"/>
        <w:kinsoku/>
        <w:autoSpaceDE/>
        <w:autoSpaceDN/>
        <w:adjustRightInd/>
        <w:snapToGrid/>
        <w:spacing w:line="500" w:lineRule="exact"/>
        <w:jc w:val="center"/>
        <w:textAlignment w:val="auto"/>
        <w:rPr>
          <w:rFonts w:ascii="Times New Roman" w:hAnsi="Times New Roman" w:eastAsia="宋体" w:cs="Times New Roman"/>
          <w:b/>
          <w:snapToGrid/>
          <w:color w:val="auto"/>
          <w:kern w:val="2"/>
          <w:sz w:val="24"/>
          <w:szCs w:val="24"/>
          <w:lang w:eastAsia="zh-CN"/>
        </w:rPr>
      </w:pPr>
    </w:p>
    <w:p w14:paraId="7B358639">
      <w:pPr>
        <w:widowControl w:val="0"/>
        <w:kinsoku/>
        <w:autoSpaceDE/>
        <w:autoSpaceDN/>
        <w:adjustRightInd/>
        <w:snapToGrid/>
        <w:spacing w:line="500" w:lineRule="exact"/>
        <w:ind w:firstLine="1285" w:firstLineChars="400"/>
        <w:textAlignment w:val="auto"/>
        <w:rPr>
          <w:rFonts w:ascii="Times New Roman" w:hAnsi="Times New Roman" w:eastAsia="方正小标宋_GBK" w:cs="Times New Roman"/>
          <w:b/>
          <w:snapToGrid/>
          <w:color w:val="auto"/>
          <w:kern w:val="2"/>
          <w:sz w:val="28"/>
          <w:szCs w:val="24"/>
          <w:u w:val="single"/>
          <w:lang w:eastAsia="zh-CN"/>
        </w:rPr>
      </w:pPr>
      <w:r>
        <w:rPr>
          <w:rFonts w:ascii="Times New Roman" w:hAnsi="Times New Roman" w:eastAsia="方正小标宋_GBK" w:cs="Times New Roman"/>
          <w:b/>
          <w:snapToGrid/>
          <w:color w:val="auto"/>
          <w:kern w:val="2"/>
          <w:sz w:val="32"/>
          <w:szCs w:val="32"/>
          <w:lang w:eastAsia="zh-CN"/>
        </w:rPr>
        <w:t>发包人（甲方）：重庆理工职业学院</w:t>
      </w:r>
    </w:p>
    <w:p w14:paraId="4F6B2C40">
      <w:pPr>
        <w:widowControl w:val="0"/>
        <w:kinsoku/>
        <w:autoSpaceDE/>
        <w:autoSpaceDN/>
        <w:adjustRightInd/>
        <w:snapToGrid/>
        <w:spacing w:line="500" w:lineRule="exact"/>
        <w:ind w:firstLine="1285" w:firstLineChars="400"/>
        <w:jc w:val="both"/>
        <w:textAlignment w:val="auto"/>
        <w:rPr>
          <w:rFonts w:ascii="Times New Roman" w:hAnsi="Times New Roman" w:eastAsia="方正小标宋_GBK" w:cs="Times New Roman"/>
          <w:b/>
          <w:snapToGrid/>
          <w:color w:val="auto"/>
          <w:kern w:val="2"/>
          <w:sz w:val="32"/>
          <w:szCs w:val="32"/>
          <w:lang w:eastAsia="zh-CN"/>
        </w:rPr>
      </w:pPr>
      <w:r>
        <w:rPr>
          <w:rFonts w:ascii="Times New Roman" w:hAnsi="Times New Roman" w:eastAsia="方正小标宋_GBK" w:cs="Times New Roman"/>
          <w:b/>
          <w:snapToGrid/>
          <w:color w:val="auto"/>
          <w:kern w:val="2"/>
          <w:sz w:val="32"/>
          <w:szCs w:val="32"/>
          <w:lang w:eastAsia="zh-CN"/>
        </w:rPr>
        <w:t xml:space="preserve">承包人（乙方）： </w:t>
      </w:r>
    </w:p>
    <w:p w14:paraId="5D8D6140">
      <w:pPr>
        <w:widowControl w:val="0"/>
        <w:kinsoku/>
        <w:autoSpaceDE/>
        <w:autoSpaceDN/>
        <w:adjustRightInd/>
        <w:snapToGrid/>
        <w:spacing w:line="500" w:lineRule="exact"/>
        <w:jc w:val="both"/>
        <w:textAlignment w:val="auto"/>
        <w:rPr>
          <w:rFonts w:ascii="Times New Roman" w:hAnsi="Times New Roman" w:eastAsia="宋体" w:cs="Times New Roman"/>
          <w:b/>
          <w:snapToGrid/>
          <w:color w:val="auto"/>
          <w:kern w:val="2"/>
          <w:sz w:val="32"/>
          <w:szCs w:val="32"/>
          <w:lang w:eastAsia="zh-CN"/>
        </w:rPr>
      </w:pPr>
    </w:p>
    <w:p w14:paraId="13D8B177">
      <w:pPr>
        <w:widowControl w:val="0"/>
        <w:kinsoku/>
        <w:autoSpaceDE/>
        <w:autoSpaceDN/>
        <w:adjustRightInd/>
        <w:snapToGrid/>
        <w:spacing w:after="120"/>
        <w:jc w:val="both"/>
        <w:textAlignment w:val="auto"/>
        <w:rPr>
          <w:rFonts w:ascii="Times New Roman" w:hAnsi="Times New Roman" w:eastAsia="宋体" w:cs="Times New Roman"/>
          <w:b/>
          <w:snapToGrid/>
          <w:color w:val="auto"/>
          <w:kern w:val="2"/>
          <w:sz w:val="32"/>
          <w:szCs w:val="32"/>
          <w:lang w:eastAsia="zh-CN"/>
        </w:rPr>
      </w:pPr>
    </w:p>
    <w:p w14:paraId="7B1CD434">
      <w:pPr>
        <w:widowControl w:val="0"/>
        <w:kinsoku/>
        <w:autoSpaceDE/>
        <w:autoSpaceDN/>
        <w:adjustRightInd/>
        <w:snapToGrid/>
        <w:spacing w:after="120"/>
        <w:jc w:val="both"/>
        <w:textAlignment w:val="auto"/>
        <w:rPr>
          <w:rFonts w:ascii="Times New Roman" w:hAnsi="Times New Roman" w:eastAsia="宋体" w:cs="Times New Roman"/>
          <w:snapToGrid/>
          <w:color w:val="auto"/>
          <w:kern w:val="2"/>
          <w:szCs w:val="24"/>
          <w:lang w:eastAsia="zh-CN"/>
        </w:rPr>
      </w:pPr>
    </w:p>
    <w:p w14:paraId="1C05D504">
      <w:pPr>
        <w:widowControl w:val="0"/>
        <w:kinsoku/>
        <w:autoSpaceDE/>
        <w:autoSpaceDN/>
        <w:adjustRightInd/>
        <w:snapToGrid/>
        <w:spacing w:after="120"/>
        <w:jc w:val="both"/>
        <w:textAlignment w:val="auto"/>
        <w:rPr>
          <w:rFonts w:ascii="Times New Roman" w:hAnsi="Times New Roman" w:eastAsia="宋体" w:cs="Times New Roman"/>
          <w:snapToGrid/>
          <w:color w:val="auto"/>
          <w:kern w:val="2"/>
          <w:szCs w:val="24"/>
          <w:lang w:eastAsia="zh-CN"/>
        </w:rPr>
      </w:pPr>
    </w:p>
    <w:p w14:paraId="26C9B353">
      <w:pPr>
        <w:widowControl w:val="0"/>
        <w:kinsoku/>
        <w:autoSpaceDE/>
        <w:autoSpaceDN/>
        <w:adjustRightInd/>
        <w:snapToGrid/>
        <w:spacing w:line="500" w:lineRule="exact"/>
        <w:jc w:val="center"/>
        <w:textAlignment w:val="auto"/>
        <w:rPr>
          <w:rFonts w:ascii="Times New Roman" w:hAnsi="Times New Roman" w:eastAsia="方正小标宋_GBK" w:cs="Times New Roman"/>
          <w:b/>
          <w:snapToGrid/>
          <w:color w:val="auto"/>
          <w:kern w:val="2"/>
          <w:sz w:val="32"/>
          <w:szCs w:val="32"/>
          <w:lang w:eastAsia="zh-CN"/>
        </w:rPr>
      </w:pPr>
      <w:r>
        <w:rPr>
          <w:rFonts w:ascii="Times New Roman" w:hAnsi="Times New Roman" w:eastAsia="方正小标宋_GBK" w:cs="Times New Roman"/>
          <w:b/>
          <w:snapToGrid/>
          <w:color w:val="auto"/>
          <w:kern w:val="2"/>
          <w:sz w:val="32"/>
          <w:szCs w:val="32"/>
          <w:lang w:eastAsia="zh-CN"/>
        </w:rPr>
        <w:t>202</w:t>
      </w:r>
      <w:r>
        <w:rPr>
          <w:rFonts w:hint="eastAsia" w:ascii="Times New Roman" w:hAnsi="Times New Roman" w:eastAsia="方正小标宋_GBK" w:cs="Times New Roman"/>
          <w:b/>
          <w:snapToGrid/>
          <w:color w:val="auto"/>
          <w:kern w:val="2"/>
          <w:sz w:val="32"/>
          <w:szCs w:val="32"/>
          <w:lang w:eastAsia="zh-CN"/>
        </w:rPr>
        <w:t>5</w:t>
      </w:r>
      <w:r>
        <w:rPr>
          <w:rFonts w:ascii="Times New Roman" w:hAnsi="Times New Roman" w:eastAsia="方正小标宋_GBK" w:cs="Times New Roman"/>
          <w:b/>
          <w:snapToGrid/>
          <w:color w:val="auto"/>
          <w:kern w:val="2"/>
          <w:sz w:val="32"/>
          <w:szCs w:val="32"/>
          <w:lang w:eastAsia="zh-CN"/>
        </w:rPr>
        <w:t>年   月   日</w:t>
      </w:r>
    </w:p>
    <w:p w14:paraId="22F14BD3">
      <w:pPr>
        <w:widowControl w:val="0"/>
        <w:kinsoku/>
        <w:autoSpaceDE/>
        <w:autoSpaceDN/>
        <w:adjustRightInd/>
        <w:snapToGrid/>
        <w:jc w:val="center"/>
        <w:textAlignment w:val="auto"/>
        <w:rPr>
          <w:rFonts w:ascii="Times New Roman" w:hAnsi="Times New Roman" w:eastAsia="方正小标宋_GBK" w:cs="Times New Roman"/>
          <w:bCs/>
          <w:snapToGrid/>
          <w:color w:val="auto"/>
          <w:spacing w:val="20"/>
          <w:kern w:val="2"/>
          <w:sz w:val="40"/>
          <w:szCs w:val="40"/>
          <w:lang w:eastAsia="zh-CN"/>
        </w:rPr>
      </w:pPr>
    </w:p>
    <w:p w14:paraId="1DF69ADF">
      <w:pPr>
        <w:widowControl w:val="0"/>
        <w:kinsoku/>
        <w:autoSpaceDE/>
        <w:autoSpaceDN/>
        <w:adjustRightInd/>
        <w:snapToGrid/>
        <w:spacing w:line="500" w:lineRule="exact"/>
        <w:jc w:val="center"/>
        <w:textAlignment w:val="auto"/>
        <w:rPr>
          <w:rFonts w:ascii="Times New Roman" w:hAnsi="Times New Roman" w:eastAsia="方正小标宋_GBK" w:cs="Times New Roman"/>
          <w:b/>
          <w:snapToGrid/>
          <w:color w:val="1C1F23"/>
          <w:kern w:val="2"/>
          <w:sz w:val="36"/>
          <w:szCs w:val="36"/>
          <w:shd w:val="clear" w:color="auto" w:fill="FFFFFF"/>
          <w:lang w:eastAsia="zh-CN"/>
        </w:rPr>
      </w:pPr>
      <w:r>
        <w:rPr>
          <w:rFonts w:ascii="Times New Roman" w:hAnsi="Times New Roman" w:eastAsia="宋体" w:cs="Times New Roman"/>
          <w:snapToGrid/>
          <w:color w:val="auto"/>
          <w:kern w:val="2"/>
          <w:szCs w:val="24"/>
          <w:lang w:eastAsia="zh-CN"/>
        </w:rPr>
        <w:br w:type="page"/>
      </w:r>
      <w:r>
        <w:rPr>
          <w:rFonts w:ascii="Times New Roman" w:hAnsi="Times New Roman" w:eastAsia="方正小标宋_GBK" w:cs="Times New Roman"/>
          <w:b/>
          <w:snapToGrid/>
          <w:color w:val="1C1F23"/>
          <w:kern w:val="2"/>
          <w:sz w:val="36"/>
          <w:szCs w:val="36"/>
          <w:shd w:val="clear" w:color="auto" w:fill="FFFFFF"/>
          <w:lang w:eastAsia="zh-CN"/>
        </w:rPr>
        <w:t>重庆理工职业学院</w:t>
      </w:r>
    </w:p>
    <w:p w14:paraId="51E20CC3">
      <w:pPr>
        <w:keepNext/>
        <w:keepLines/>
        <w:widowControl w:val="0"/>
        <w:kinsoku/>
        <w:autoSpaceDE/>
        <w:autoSpaceDN/>
        <w:adjustRightInd/>
        <w:snapToGrid/>
        <w:spacing w:line="360" w:lineRule="auto"/>
        <w:jc w:val="center"/>
        <w:textAlignment w:val="auto"/>
        <w:outlineLvl w:val="2"/>
        <w:rPr>
          <w:rFonts w:ascii="Times New Roman" w:hAnsi="Times New Roman" w:eastAsia="方正小标宋_GBK" w:cs="Times New Roman"/>
          <w:b/>
          <w:bCs/>
          <w:snapToGrid/>
          <w:color w:val="1C1F23"/>
          <w:kern w:val="2"/>
          <w:sz w:val="36"/>
          <w:szCs w:val="36"/>
          <w:shd w:val="clear" w:color="auto" w:fill="FFFFFF"/>
          <w:lang w:val="sq-AL" w:eastAsia="zh-CN"/>
        </w:rPr>
      </w:pPr>
      <w:r>
        <w:rPr>
          <w:rFonts w:ascii="Times New Roman" w:hAnsi="Times New Roman" w:eastAsia="方正小标宋_GBK" w:cs="Times New Roman"/>
          <w:b/>
          <w:bCs/>
          <w:snapToGrid/>
          <w:color w:val="1C1F23"/>
          <w:kern w:val="2"/>
          <w:sz w:val="36"/>
          <w:szCs w:val="36"/>
          <w:shd w:val="clear" w:color="auto" w:fill="FFFFFF"/>
          <w:lang w:val="sq-AL" w:eastAsia="zh-CN"/>
        </w:rPr>
        <w:t xml:space="preserve">国际楼 </w:t>
      </w:r>
      <w:r>
        <w:rPr>
          <w:rFonts w:hint="eastAsia" w:ascii="Times New Roman" w:hAnsi="Times New Roman" w:eastAsia="方正小标宋_GBK" w:cs="Times New Roman"/>
          <w:b/>
          <w:bCs/>
          <w:snapToGrid/>
          <w:color w:val="1C1F23"/>
          <w:kern w:val="2"/>
          <w:sz w:val="36"/>
          <w:szCs w:val="36"/>
          <w:shd w:val="clear" w:color="auto" w:fill="FFFFFF"/>
          <w:lang w:eastAsia="zh-CN"/>
        </w:rPr>
        <w:t>4</w:t>
      </w:r>
      <w:r>
        <w:rPr>
          <w:rFonts w:ascii="Times New Roman" w:hAnsi="Times New Roman" w:eastAsia="方正小标宋_GBK" w:cs="Times New Roman"/>
          <w:b/>
          <w:bCs/>
          <w:snapToGrid/>
          <w:color w:val="1C1F23"/>
          <w:kern w:val="2"/>
          <w:sz w:val="36"/>
          <w:szCs w:val="36"/>
          <w:shd w:val="clear" w:color="auto" w:fill="FFFFFF"/>
          <w:lang w:val="sq-AL" w:eastAsia="zh-CN"/>
        </w:rPr>
        <w:t>- 1</w:t>
      </w:r>
      <w:r>
        <w:rPr>
          <w:rFonts w:hint="eastAsia" w:ascii="Times New Roman" w:hAnsi="Times New Roman" w:eastAsia="方正小标宋_GBK" w:cs="Times New Roman"/>
          <w:b/>
          <w:bCs/>
          <w:snapToGrid/>
          <w:color w:val="1C1F23"/>
          <w:kern w:val="2"/>
          <w:sz w:val="36"/>
          <w:szCs w:val="36"/>
          <w:shd w:val="clear" w:color="auto" w:fill="FFFFFF"/>
          <w:lang w:eastAsia="zh-CN"/>
        </w:rPr>
        <w:t>3</w:t>
      </w:r>
      <w:r>
        <w:rPr>
          <w:rFonts w:ascii="Times New Roman" w:hAnsi="Times New Roman" w:eastAsia="方正小标宋_GBK" w:cs="Times New Roman"/>
          <w:b/>
          <w:bCs/>
          <w:snapToGrid/>
          <w:color w:val="1C1F23"/>
          <w:kern w:val="2"/>
          <w:sz w:val="36"/>
          <w:szCs w:val="36"/>
          <w:shd w:val="clear" w:color="auto" w:fill="FFFFFF"/>
          <w:lang w:val="sq-AL" w:eastAsia="zh-CN"/>
        </w:rPr>
        <w:t xml:space="preserve"> 楼学生公寓</w:t>
      </w:r>
      <w:r>
        <w:rPr>
          <w:rFonts w:hint="eastAsia" w:ascii="Times New Roman" w:hAnsi="Times New Roman" w:eastAsia="方正小标宋_GBK" w:cs="Times New Roman"/>
          <w:b/>
          <w:bCs/>
          <w:snapToGrid/>
          <w:color w:val="1C1F23"/>
          <w:kern w:val="2"/>
          <w:sz w:val="36"/>
          <w:szCs w:val="36"/>
          <w:shd w:val="clear" w:color="auto" w:fill="FFFFFF"/>
          <w:lang w:val="sq-AL" w:eastAsia="zh-CN"/>
        </w:rPr>
        <w:t>及</w:t>
      </w:r>
      <w:r>
        <w:rPr>
          <w:rFonts w:hint="eastAsia" w:ascii="Times New Roman" w:hAnsi="Times New Roman" w:eastAsia="方正小标宋_GBK" w:cs="Times New Roman"/>
          <w:b/>
          <w:bCs/>
          <w:snapToGrid/>
          <w:color w:val="1C1F23"/>
          <w:kern w:val="2"/>
          <w:sz w:val="36"/>
          <w:szCs w:val="36"/>
          <w:shd w:val="clear" w:color="auto" w:fill="FFFFFF"/>
          <w:lang w:eastAsia="zh-CN"/>
        </w:rPr>
        <w:t>3楼厕所</w:t>
      </w:r>
      <w:r>
        <w:rPr>
          <w:rFonts w:ascii="Times New Roman" w:hAnsi="Times New Roman" w:eastAsia="方正小标宋_GBK" w:cs="Times New Roman"/>
          <w:b/>
          <w:bCs/>
          <w:snapToGrid/>
          <w:color w:val="1C1F23"/>
          <w:kern w:val="2"/>
          <w:sz w:val="36"/>
          <w:szCs w:val="36"/>
          <w:shd w:val="clear" w:color="auto" w:fill="FFFFFF"/>
          <w:lang w:val="sq-AL" w:eastAsia="zh-CN"/>
        </w:rPr>
        <w:t>装修改造工程建设</w:t>
      </w:r>
    </w:p>
    <w:p w14:paraId="18A01FDA">
      <w:pPr>
        <w:keepNext/>
        <w:keepLines/>
        <w:widowControl w:val="0"/>
        <w:kinsoku/>
        <w:autoSpaceDE/>
        <w:autoSpaceDN/>
        <w:adjustRightInd/>
        <w:snapToGrid/>
        <w:spacing w:line="360" w:lineRule="auto"/>
        <w:jc w:val="center"/>
        <w:textAlignment w:val="auto"/>
        <w:outlineLvl w:val="2"/>
        <w:rPr>
          <w:rFonts w:ascii="Times New Roman" w:hAnsi="Times New Roman" w:eastAsia="方正小标宋_GBK" w:cs="Times New Roman"/>
          <w:b/>
          <w:bCs/>
          <w:snapToGrid/>
          <w:color w:val="1C1F23"/>
          <w:kern w:val="2"/>
          <w:sz w:val="36"/>
          <w:szCs w:val="36"/>
          <w:shd w:val="clear" w:color="auto" w:fill="FFFFFF"/>
          <w:lang w:val="sq-AL" w:eastAsia="zh-CN"/>
        </w:rPr>
      </w:pPr>
      <w:r>
        <w:rPr>
          <w:rFonts w:ascii="Times New Roman" w:hAnsi="Times New Roman" w:eastAsia="方正小标宋_GBK" w:cs="Times New Roman"/>
          <w:b/>
          <w:bCs/>
          <w:snapToGrid/>
          <w:color w:val="1C1F23"/>
          <w:kern w:val="2"/>
          <w:sz w:val="36"/>
          <w:szCs w:val="36"/>
          <w:shd w:val="clear" w:color="auto" w:fill="FFFFFF"/>
          <w:lang w:val="sq-AL" w:eastAsia="zh-CN"/>
        </w:rPr>
        <w:t>合同</w:t>
      </w:r>
    </w:p>
    <w:p w14:paraId="51F2A292">
      <w:pPr>
        <w:widowControl w:val="0"/>
        <w:kinsoku/>
        <w:autoSpaceDE/>
        <w:autoSpaceDN/>
        <w:adjustRightInd/>
        <w:snapToGrid/>
        <w:spacing w:after="120"/>
        <w:jc w:val="both"/>
        <w:textAlignment w:val="auto"/>
        <w:rPr>
          <w:rFonts w:ascii="Times New Roman" w:hAnsi="Times New Roman" w:eastAsia="宋体" w:cs="Times New Roman"/>
          <w:snapToGrid/>
          <w:color w:val="auto"/>
          <w:kern w:val="2"/>
          <w:szCs w:val="24"/>
          <w:lang w:val="sq-AL" w:eastAsia="zh-CN"/>
        </w:rPr>
      </w:pPr>
    </w:p>
    <w:p w14:paraId="6453939A">
      <w:pPr>
        <w:widowControl w:val="0"/>
        <w:kinsoku/>
        <w:wordWrap w:val="0"/>
        <w:autoSpaceDE/>
        <w:autoSpaceDN/>
        <w:adjustRightInd/>
        <w:snapToGrid/>
        <w:spacing w:line="500" w:lineRule="exact"/>
        <w:jc w:val="right"/>
        <w:textAlignment w:val="auto"/>
        <w:rPr>
          <w:rFonts w:ascii="Times New Roman" w:hAnsi="Times New Roman" w:eastAsia="宋体" w:cs="Times New Roman"/>
          <w:iCs/>
          <w:snapToGrid/>
          <w:color w:val="auto"/>
          <w:kern w:val="2"/>
          <w:u w:val="single"/>
          <w:lang w:eastAsia="zh-CN"/>
        </w:rPr>
      </w:pPr>
      <w:r>
        <w:rPr>
          <w:rFonts w:ascii="Times New Roman" w:hAnsi="Times New Roman" w:eastAsia="宋体" w:cs="Times New Roman"/>
          <w:iCs/>
          <w:snapToGrid/>
          <w:color w:val="auto"/>
          <w:kern w:val="2"/>
          <w:lang w:eastAsia="zh-CN"/>
        </w:rPr>
        <w:t>合同编号：</w:t>
      </w:r>
      <w:r>
        <w:rPr>
          <w:rFonts w:ascii="Times New Roman" w:hAnsi="Times New Roman" w:eastAsia="宋体" w:cs="Times New Roman"/>
          <w:iCs/>
          <w:snapToGrid/>
          <w:color w:val="auto"/>
          <w:kern w:val="2"/>
          <w:u w:val="single"/>
          <w:lang w:eastAsia="zh-CN"/>
        </w:rPr>
        <w:t>CQIP-202</w:t>
      </w:r>
      <w:r>
        <w:rPr>
          <w:rFonts w:hint="eastAsia" w:ascii="Times New Roman" w:hAnsi="Times New Roman" w:eastAsia="宋体" w:cs="Times New Roman"/>
          <w:iCs/>
          <w:snapToGrid/>
          <w:color w:val="auto"/>
          <w:kern w:val="2"/>
          <w:u w:val="single"/>
          <w:lang w:eastAsia="zh-CN"/>
        </w:rPr>
        <w:t>5</w:t>
      </w:r>
      <w:r>
        <w:rPr>
          <w:rFonts w:ascii="Times New Roman" w:hAnsi="Times New Roman" w:eastAsia="宋体" w:cs="Times New Roman"/>
          <w:iCs/>
          <w:snapToGrid/>
          <w:color w:val="auto"/>
          <w:kern w:val="2"/>
          <w:u w:val="single"/>
          <w:lang w:eastAsia="zh-CN"/>
        </w:rPr>
        <w:t>06</w:t>
      </w:r>
      <w:r>
        <w:rPr>
          <w:rFonts w:hint="eastAsia" w:ascii="Times New Roman" w:hAnsi="Times New Roman" w:eastAsia="宋体" w:cs="Times New Roman"/>
          <w:iCs/>
          <w:snapToGrid/>
          <w:color w:val="auto"/>
          <w:kern w:val="2"/>
          <w:u w:val="single"/>
          <w:lang w:eastAsia="zh-CN"/>
        </w:rPr>
        <w:t>2</w:t>
      </w:r>
      <w:r>
        <w:rPr>
          <w:rFonts w:ascii="Times New Roman" w:hAnsi="Times New Roman" w:eastAsia="宋体" w:cs="Times New Roman"/>
          <w:iCs/>
          <w:snapToGrid/>
          <w:color w:val="auto"/>
          <w:kern w:val="2"/>
          <w:u w:val="single"/>
          <w:lang w:eastAsia="zh-CN"/>
        </w:rPr>
        <w:t>6-01</w:t>
      </w:r>
    </w:p>
    <w:p w14:paraId="75526F9B">
      <w:pPr>
        <w:widowControl w:val="0"/>
        <w:kinsoku/>
        <w:autoSpaceDE/>
        <w:autoSpaceDN/>
        <w:adjustRightInd/>
        <w:snapToGrid/>
        <w:spacing w:line="500" w:lineRule="exact"/>
        <w:ind w:firstLine="640" w:firstLineChars="200"/>
        <w:jc w:val="both"/>
        <w:textAlignment w:val="auto"/>
        <w:rPr>
          <w:rFonts w:ascii="Times New Roman" w:hAnsi="Times New Roman" w:eastAsia="方正仿宋_GBK" w:cs="Times New Roman"/>
          <w:snapToGrid/>
          <w:color w:val="auto"/>
          <w:kern w:val="2"/>
          <w:sz w:val="32"/>
          <w:szCs w:val="32"/>
          <w:lang w:eastAsia="zh-CN"/>
        </w:rPr>
      </w:pPr>
      <w:r>
        <w:rPr>
          <w:rFonts w:ascii="Times New Roman" w:hAnsi="Times New Roman" w:eastAsia="方正仿宋_GBK" w:cs="Times New Roman"/>
          <w:snapToGrid/>
          <w:color w:val="auto"/>
          <w:kern w:val="2"/>
          <w:sz w:val="32"/>
          <w:szCs w:val="32"/>
          <w:lang w:eastAsia="zh-CN"/>
        </w:rPr>
        <w:t xml:space="preserve">                                                   </w:t>
      </w:r>
    </w:p>
    <w:p w14:paraId="76908664">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发包方（甲方）：重庆理工职业学院 </w:t>
      </w:r>
    </w:p>
    <w:p w14:paraId="2180988D">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统一社会信用代码：52500000MJP5965746</w:t>
      </w:r>
    </w:p>
    <w:p w14:paraId="5D691431">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注册地址：重庆市巴南区界石镇东城大道588号</w:t>
      </w:r>
    </w:p>
    <w:p w14:paraId="233873C5">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开户行：中国银行重庆巴南支行</w:t>
      </w:r>
    </w:p>
    <w:p w14:paraId="47BE097C">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账号：113070691433</w:t>
      </w:r>
    </w:p>
    <w:p w14:paraId="607EA75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p>
    <w:p w14:paraId="75E7D2BB">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承包方（乙方）： </w:t>
      </w:r>
    </w:p>
    <w:p w14:paraId="598C4D5D">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统一社会信用代码：</w:t>
      </w:r>
    </w:p>
    <w:p w14:paraId="7680C552">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企业地址： </w:t>
      </w:r>
    </w:p>
    <w:p w14:paraId="451EC124">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Hans"/>
        </w:rPr>
      </w:pPr>
      <w:r>
        <w:rPr>
          <w:rFonts w:ascii="仿宋" w:hAnsi="仿宋" w:eastAsia="仿宋" w:cs="Times New Roman"/>
          <w:snapToGrid/>
          <w:color w:val="auto"/>
          <w:kern w:val="2"/>
          <w:sz w:val="32"/>
          <w:szCs w:val="32"/>
          <w:lang w:eastAsia="zh-CN"/>
        </w:rPr>
        <w:t>开户行：</w:t>
      </w:r>
      <w:r>
        <w:rPr>
          <w:rFonts w:ascii="仿宋" w:hAnsi="仿宋" w:eastAsia="仿宋" w:cs="Times New Roman"/>
          <w:snapToGrid/>
          <w:color w:val="auto"/>
          <w:kern w:val="2"/>
          <w:sz w:val="32"/>
          <w:szCs w:val="32"/>
          <w:lang w:eastAsia="zh-Hans"/>
        </w:rPr>
        <w:t xml:space="preserve"> </w:t>
      </w:r>
    </w:p>
    <w:p w14:paraId="47E460B6">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账  号：</w:t>
      </w:r>
    </w:p>
    <w:p w14:paraId="1F5F0FC5">
      <w:pPr>
        <w:widowControl w:val="0"/>
        <w:kinsoku/>
        <w:autoSpaceDE/>
        <w:autoSpaceDN/>
        <w:adjustRightInd/>
        <w:snapToGrid/>
        <w:spacing w:after="120"/>
        <w:jc w:val="both"/>
        <w:textAlignment w:val="auto"/>
        <w:rPr>
          <w:rFonts w:hint="eastAsia" w:ascii="仿宋" w:hAnsi="仿宋" w:eastAsia="仿宋" w:cs="Times New Roman"/>
          <w:snapToGrid/>
          <w:color w:val="auto"/>
          <w:kern w:val="2"/>
          <w:sz w:val="32"/>
          <w:szCs w:val="32"/>
          <w:lang w:eastAsia="zh-CN"/>
        </w:rPr>
      </w:pPr>
    </w:p>
    <w:p w14:paraId="1CECB06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在乙方充分考察及熟悉本合同所述甲方指定项目的工程内容及其相关特点背景的前提下，甲乙双方依照《中华人民共和国民法典》及其他相关法律、行政法规的规定，遵循平等、自愿、公平、公正和诚实信用的原则，双方就重庆理工职业学院国际楼</w:t>
      </w:r>
      <w:r>
        <w:rPr>
          <w:rFonts w:hint="eastAsia" w:ascii="仿宋" w:hAnsi="仿宋" w:eastAsia="仿宋" w:cs="Times New Roman"/>
          <w:snapToGrid/>
          <w:color w:val="auto"/>
          <w:kern w:val="2"/>
          <w:sz w:val="32"/>
          <w:szCs w:val="32"/>
          <w:lang w:eastAsia="zh-CN"/>
        </w:rPr>
        <w:t>4</w:t>
      </w:r>
      <w:r>
        <w:rPr>
          <w:rFonts w:ascii="仿宋" w:hAnsi="仿宋" w:eastAsia="仿宋" w:cs="Times New Roman"/>
          <w:snapToGrid/>
          <w:color w:val="auto"/>
          <w:kern w:val="2"/>
          <w:sz w:val="32"/>
          <w:szCs w:val="32"/>
          <w:lang w:eastAsia="zh-CN"/>
        </w:rPr>
        <w:t>-1</w:t>
      </w:r>
      <w:r>
        <w:rPr>
          <w:rFonts w:hint="eastAsia" w:ascii="仿宋" w:hAnsi="仿宋" w:eastAsia="仿宋" w:cs="Times New Roman"/>
          <w:snapToGrid/>
          <w:color w:val="auto"/>
          <w:kern w:val="2"/>
          <w:sz w:val="32"/>
          <w:szCs w:val="32"/>
          <w:lang w:eastAsia="zh-CN"/>
        </w:rPr>
        <w:t>3</w:t>
      </w:r>
      <w:r>
        <w:rPr>
          <w:rFonts w:ascii="仿宋" w:hAnsi="仿宋" w:eastAsia="仿宋" w:cs="Times New Roman"/>
          <w:snapToGrid/>
          <w:color w:val="auto"/>
          <w:kern w:val="2"/>
          <w:sz w:val="32"/>
          <w:szCs w:val="32"/>
          <w:lang w:eastAsia="zh-CN"/>
        </w:rPr>
        <w:t>楼学生公寓</w:t>
      </w:r>
      <w:r>
        <w:rPr>
          <w:rFonts w:hint="eastAsia" w:ascii="仿宋" w:hAnsi="仿宋" w:eastAsia="仿宋" w:cs="Times New Roman"/>
          <w:snapToGrid/>
          <w:color w:val="auto"/>
          <w:kern w:val="2"/>
          <w:sz w:val="32"/>
          <w:szCs w:val="32"/>
          <w:lang w:eastAsia="zh-CN"/>
        </w:rPr>
        <w:t>及3楼厕所</w:t>
      </w:r>
      <w:r>
        <w:rPr>
          <w:rFonts w:ascii="仿宋" w:hAnsi="仿宋" w:eastAsia="仿宋" w:cs="Times New Roman"/>
          <w:snapToGrid/>
          <w:color w:val="auto"/>
          <w:kern w:val="2"/>
          <w:sz w:val="32"/>
          <w:szCs w:val="32"/>
          <w:lang w:eastAsia="zh-CN"/>
        </w:rPr>
        <w:t>装修改造工程承包事宜协商一致，订立本合同，供双方共同遵照执行。</w:t>
      </w:r>
    </w:p>
    <w:p w14:paraId="3F37AC2B">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第一条  工程概况</w:t>
      </w:r>
    </w:p>
    <w:p w14:paraId="55D4BE2B">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1.1  工程名称：重庆理工职业学院国际楼</w:t>
      </w:r>
      <w:r>
        <w:rPr>
          <w:rFonts w:hint="eastAsia" w:ascii="仿宋" w:hAnsi="仿宋" w:eastAsia="仿宋" w:cs="Times New Roman"/>
          <w:snapToGrid/>
          <w:color w:val="auto"/>
          <w:kern w:val="2"/>
          <w:sz w:val="32"/>
          <w:szCs w:val="32"/>
          <w:lang w:eastAsia="zh-CN"/>
        </w:rPr>
        <w:t>4</w:t>
      </w:r>
      <w:r>
        <w:rPr>
          <w:rFonts w:ascii="仿宋" w:hAnsi="仿宋" w:eastAsia="仿宋" w:cs="Times New Roman"/>
          <w:snapToGrid/>
          <w:color w:val="auto"/>
          <w:kern w:val="2"/>
          <w:sz w:val="32"/>
          <w:szCs w:val="32"/>
          <w:lang w:eastAsia="zh-CN"/>
        </w:rPr>
        <w:t>-1</w:t>
      </w:r>
      <w:r>
        <w:rPr>
          <w:rFonts w:hint="eastAsia" w:ascii="仿宋" w:hAnsi="仿宋" w:eastAsia="仿宋" w:cs="Times New Roman"/>
          <w:snapToGrid/>
          <w:color w:val="auto"/>
          <w:kern w:val="2"/>
          <w:sz w:val="32"/>
          <w:szCs w:val="32"/>
          <w:lang w:eastAsia="zh-CN"/>
        </w:rPr>
        <w:t>3</w:t>
      </w:r>
      <w:r>
        <w:rPr>
          <w:rFonts w:ascii="仿宋" w:hAnsi="仿宋" w:eastAsia="仿宋" w:cs="Times New Roman"/>
          <w:snapToGrid/>
          <w:color w:val="auto"/>
          <w:kern w:val="2"/>
          <w:sz w:val="32"/>
          <w:szCs w:val="32"/>
          <w:lang w:eastAsia="zh-CN"/>
        </w:rPr>
        <w:t>楼学生公寓</w:t>
      </w:r>
      <w:r>
        <w:rPr>
          <w:rFonts w:hint="eastAsia" w:ascii="仿宋" w:hAnsi="仿宋" w:eastAsia="仿宋" w:cs="Times New Roman"/>
          <w:snapToGrid/>
          <w:color w:val="auto"/>
          <w:kern w:val="2"/>
          <w:sz w:val="32"/>
          <w:szCs w:val="32"/>
          <w:lang w:eastAsia="zh-CN"/>
        </w:rPr>
        <w:t>及3楼厕所</w:t>
      </w:r>
      <w:r>
        <w:rPr>
          <w:rFonts w:ascii="仿宋" w:hAnsi="仿宋" w:eastAsia="仿宋" w:cs="Times New Roman"/>
          <w:snapToGrid/>
          <w:color w:val="auto"/>
          <w:kern w:val="2"/>
          <w:sz w:val="32"/>
          <w:szCs w:val="32"/>
          <w:lang w:eastAsia="zh-CN"/>
        </w:rPr>
        <w:t>装修改造工程</w:t>
      </w:r>
    </w:p>
    <w:p w14:paraId="5D905B93">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1.2  工程地点：重庆市巴南区东城大道588号。</w:t>
      </w:r>
    </w:p>
    <w:p w14:paraId="0615FC1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  工程施工承包范围：</w:t>
      </w:r>
    </w:p>
    <w:p w14:paraId="147477C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1.3.1 </w:t>
      </w:r>
      <w:r>
        <w:rPr>
          <w:rFonts w:ascii="仿宋" w:hAnsi="仿宋" w:eastAsia="仿宋" w:cs="Times New Roman"/>
          <w:snapToGrid/>
          <w:kern w:val="2"/>
          <w:sz w:val="32"/>
          <w:szCs w:val="32"/>
          <w:lang w:eastAsia="zh-CN"/>
        </w:rPr>
        <w:t>按设计图纸、效果图、工程量清单和甲方指令，完成</w:t>
      </w:r>
      <w:r>
        <w:rPr>
          <w:rFonts w:ascii="仿宋" w:hAnsi="仿宋" w:eastAsia="仿宋" w:cs="Times New Roman"/>
          <w:snapToGrid/>
          <w:color w:val="auto"/>
          <w:kern w:val="2"/>
          <w:sz w:val="32"/>
          <w:szCs w:val="32"/>
          <w:lang w:eastAsia="zh-CN"/>
        </w:rPr>
        <w:t>重庆理工职业学院国际楼</w:t>
      </w:r>
      <w:r>
        <w:rPr>
          <w:rFonts w:hint="eastAsia" w:ascii="仿宋" w:hAnsi="仿宋" w:eastAsia="仿宋" w:cs="Times New Roman"/>
          <w:snapToGrid/>
          <w:color w:val="auto"/>
          <w:kern w:val="2"/>
          <w:sz w:val="32"/>
          <w:szCs w:val="32"/>
          <w:lang w:eastAsia="zh-CN"/>
        </w:rPr>
        <w:t>4</w:t>
      </w:r>
      <w:r>
        <w:rPr>
          <w:rFonts w:ascii="仿宋" w:hAnsi="仿宋" w:eastAsia="仿宋" w:cs="Times New Roman"/>
          <w:snapToGrid/>
          <w:color w:val="auto"/>
          <w:kern w:val="2"/>
          <w:sz w:val="32"/>
          <w:szCs w:val="32"/>
          <w:lang w:eastAsia="zh-CN"/>
        </w:rPr>
        <w:t>-1</w:t>
      </w:r>
      <w:r>
        <w:rPr>
          <w:rFonts w:hint="eastAsia" w:ascii="仿宋" w:hAnsi="仿宋" w:eastAsia="仿宋" w:cs="Times New Roman"/>
          <w:snapToGrid/>
          <w:color w:val="auto"/>
          <w:kern w:val="2"/>
          <w:sz w:val="32"/>
          <w:szCs w:val="32"/>
          <w:lang w:eastAsia="zh-CN"/>
        </w:rPr>
        <w:t>3</w:t>
      </w:r>
      <w:r>
        <w:rPr>
          <w:rFonts w:ascii="仿宋" w:hAnsi="仿宋" w:eastAsia="仿宋" w:cs="Times New Roman"/>
          <w:snapToGrid/>
          <w:color w:val="auto"/>
          <w:kern w:val="2"/>
          <w:sz w:val="32"/>
          <w:szCs w:val="32"/>
          <w:lang w:eastAsia="zh-CN"/>
        </w:rPr>
        <w:t>楼学生公寓</w:t>
      </w:r>
      <w:r>
        <w:rPr>
          <w:rFonts w:hint="eastAsia" w:ascii="仿宋" w:hAnsi="仿宋" w:eastAsia="仿宋" w:cs="Times New Roman"/>
          <w:snapToGrid/>
          <w:color w:val="auto"/>
          <w:kern w:val="2"/>
          <w:sz w:val="32"/>
          <w:szCs w:val="32"/>
          <w:lang w:eastAsia="zh-CN"/>
        </w:rPr>
        <w:t>及3楼厕所</w:t>
      </w:r>
      <w:r>
        <w:rPr>
          <w:rFonts w:ascii="仿宋" w:hAnsi="仿宋" w:eastAsia="仿宋" w:cs="Times New Roman"/>
          <w:snapToGrid/>
          <w:color w:val="auto"/>
          <w:kern w:val="2"/>
          <w:sz w:val="32"/>
          <w:szCs w:val="32"/>
          <w:lang w:eastAsia="zh-CN"/>
        </w:rPr>
        <w:t>装修改造工程</w:t>
      </w:r>
      <w:r>
        <w:rPr>
          <w:rFonts w:ascii="仿宋" w:hAnsi="仿宋" w:eastAsia="仿宋" w:cs="Times New Roman"/>
          <w:snapToGrid/>
          <w:kern w:val="2"/>
          <w:sz w:val="32"/>
          <w:szCs w:val="32"/>
          <w:lang w:eastAsia="zh-CN"/>
        </w:rPr>
        <w:t>的建设，合同范围内的工程必须满足甲方使用需求并</w:t>
      </w:r>
      <w:r>
        <w:rPr>
          <w:rFonts w:ascii="仿宋" w:hAnsi="仿宋" w:eastAsia="仿宋" w:cs="Times New Roman"/>
          <w:snapToGrid/>
          <w:kern w:val="2"/>
          <w:sz w:val="32"/>
          <w:szCs w:val="32"/>
          <w:lang w:eastAsia="zh-Hans"/>
        </w:rPr>
        <w:t>满足行业相关验收标准</w:t>
      </w:r>
      <w:r>
        <w:rPr>
          <w:rFonts w:ascii="仿宋" w:hAnsi="仿宋" w:eastAsia="仿宋" w:cs="Times New Roman"/>
          <w:snapToGrid/>
          <w:kern w:val="2"/>
          <w:sz w:val="32"/>
          <w:szCs w:val="32"/>
          <w:lang w:eastAsia="zh-CN"/>
        </w:rPr>
        <w:t>。乙方必须按图和按规范施工，本工程的设计图纸和方案可能存在变更的情况，若发生变更，以变更的图纸或甲方的指令和方案为准。</w:t>
      </w:r>
    </w:p>
    <w:p w14:paraId="53234E47">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1.3.2 本工程的设计方案乙方必须确保获得甲方的明确认可，并且施工使用的材料质量必须满足设计方案和甲方的具体要求。本工程所有的材料进场前乙方须向甲方送样确认，到场后按规定报验，甲方签字同意后方能进场使用，对于乙供材料甲方均有权改为甲供，结算时扣除清单中相应的材料费用，乙方应无条件接受。</w:t>
      </w:r>
    </w:p>
    <w:p w14:paraId="0C7EDCDA">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第二条  工程承包方式及合同价款</w:t>
      </w:r>
    </w:p>
    <w:p w14:paraId="79EB4F9D">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2.1 工程承包方式：</w:t>
      </w:r>
    </w:p>
    <w:p w14:paraId="535A319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Hans"/>
        </w:rPr>
      </w:pPr>
      <w:r>
        <w:rPr>
          <w:rFonts w:ascii="仿宋" w:hAnsi="仿宋" w:eastAsia="仿宋" w:cs="Times New Roman"/>
          <w:snapToGrid/>
          <w:color w:val="auto"/>
          <w:kern w:val="2"/>
          <w:sz w:val="32"/>
          <w:szCs w:val="32"/>
          <w:lang w:eastAsia="zh-CN"/>
        </w:rPr>
        <w:t>本工程以包工包料、包质量、包工期、包风险、包设计和施工（</w:t>
      </w:r>
      <w:r>
        <w:rPr>
          <w:rFonts w:ascii="仿宋" w:hAnsi="仿宋" w:eastAsia="仿宋" w:cs="Times New Roman"/>
          <w:snapToGrid/>
          <w:color w:val="auto"/>
          <w:kern w:val="2"/>
          <w:sz w:val="32"/>
          <w:szCs w:val="32"/>
          <w:lang w:eastAsia="zh-Hans"/>
        </w:rPr>
        <w:t>优化</w:t>
      </w:r>
      <w:r>
        <w:rPr>
          <w:rFonts w:ascii="仿宋" w:hAnsi="仿宋" w:eastAsia="仿宋" w:cs="Times New Roman"/>
          <w:snapToGrid/>
          <w:color w:val="auto"/>
          <w:kern w:val="2"/>
          <w:sz w:val="32"/>
          <w:szCs w:val="32"/>
          <w:lang w:eastAsia="zh-CN"/>
        </w:rPr>
        <w:t>设计方案以甲方认可为准）</w:t>
      </w:r>
      <w:r>
        <w:rPr>
          <w:rFonts w:ascii="仿宋" w:hAnsi="仿宋" w:eastAsia="仿宋" w:cs="Times New Roman"/>
          <w:snapToGrid/>
          <w:color w:val="auto"/>
          <w:kern w:val="2"/>
          <w:sz w:val="32"/>
          <w:szCs w:val="32"/>
          <w:lang w:eastAsia="zh-Hans"/>
        </w:rPr>
        <w:t>、</w:t>
      </w:r>
      <w:r>
        <w:rPr>
          <w:rFonts w:ascii="仿宋" w:hAnsi="仿宋" w:eastAsia="仿宋" w:cs="Times New Roman"/>
          <w:snapToGrid/>
          <w:color w:val="auto"/>
          <w:kern w:val="2"/>
          <w:sz w:val="32"/>
          <w:szCs w:val="32"/>
          <w:lang w:eastAsia="zh-CN"/>
        </w:rPr>
        <w:t>包安全文明施工、包竣工资料的交钥匙工程</w:t>
      </w:r>
      <w:r>
        <w:rPr>
          <w:rFonts w:ascii="仿宋" w:hAnsi="仿宋" w:eastAsia="仿宋" w:cs="Times New Roman"/>
          <w:snapToGrid/>
          <w:color w:val="auto"/>
          <w:kern w:val="2"/>
          <w:sz w:val="32"/>
          <w:szCs w:val="32"/>
          <w:lang w:eastAsia="zh-Hans"/>
        </w:rPr>
        <w:t>的</w:t>
      </w:r>
      <w:r>
        <w:rPr>
          <w:rFonts w:ascii="仿宋" w:hAnsi="仿宋" w:eastAsia="仿宋" w:cs="Times New Roman"/>
          <w:snapToGrid/>
          <w:color w:val="auto"/>
          <w:kern w:val="2"/>
          <w:sz w:val="32"/>
          <w:szCs w:val="32"/>
          <w:lang w:eastAsia="zh-CN"/>
        </w:rPr>
        <w:t>形式由乙方承包</w:t>
      </w:r>
      <w:r>
        <w:rPr>
          <w:rFonts w:ascii="仿宋" w:hAnsi="仿宋" w:eastAsia="仿宋" w:cs="Times New Roman"/>
          <w:snapToGrid/>
          <w:color w:val="auto"/>
          <w:kern w:val="2"/>
          <w:sz w:val="32"/>
          <w:szCs w:val="32"/>
          <w:lang w:eastAsia="zh-Hans"/>
        </w:rPr>
        <w:t>。</w:t>
      </w:r>
    </w:p>
    <w:p w14:paraId="462E76B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ascii="仿宋" w:hAnsi="仿宋" w:eastAsia="仿宋" w:cs="Times New Roman"/>
          <w:snapToGrid/>
          <w:color w:val="FF0000"/>
          <w:kern w:val="2"/>
          <w:sz w:val="32"/>
          <w:szCs w:val="32"/>
          <w:lang w:eastAsia="zh-CN"/>
        </w:rPr>
        <w:t>2.2 本工程采用固定综合总价（含税）包干计价方式</w:t>
      </w:r>
      <w:r>
        <w:rPr>
          <w:rFonts w:hint="eastAsia" w:ascii="仿宋" w:hAnsi="仿宋" w:eastAsia="仿宋" w:cs="Times New Roman"/>
          <w:snapToGrid/>
          <w:color w:val="FF0000"/>
          <w:kern w:val="2"/>
          <w:sz w:val="32"/>
          <w:szCs w:val="32"/>
          <w:lang w:eastAsia="zh-CN"/>
        </w:rPr>
        <w:t>计价</w:t>
      </w:r>
      <w:r>
        <w:rPr>
          <w:rFonts w:ascii="仿宋" w:hAnsi="仿宋" w:eastAsia="仿宋" w:cs="Times New Roman"/>
          <w:snapToGrid/>
          <w:color w:val="FF0000"/>
          <w:kern w:val="2"/>
          <w:sz w:val="32"/>
          <w:szCs w:val="32"/>
          <w:lang w:eastAsia="zh-CN"/>
        </w:rPr>
        <w:t>，以 “标准房间 / 间，公区 / 层” 为计量单位，按 “（含税）包干</w:t>
      </w:r>
      <w:r>
        <w:rPr>
          <w:rFonts w:hint="eastAsia" w:ascii="仿宋" w:hAnsi="仿宋" w:eastAsia="仿宋" w:cs="Times New Roman"/>
          <w:snapToGrid/>
          <w:color w:val="FF0000"/>
          <w:kern w:val="2"/>
          <w:sz w:val="32"/>
          <w:szCs w:val="32"/>
          <w:lang w:eastAsia="zh-CN"/>
        </w:rPr>
        <w:t>总</w:t>
      </w:r>
      <w:r>
        <w:rPr>
          <w:rFonts w:ascii="仿宋" w:hAnsi="仿宋" w:eastAsia="仿宋" w:cs="Times New Roman"/>
          <w:snapToGrid/>
          <w:color w:val="FF0000"/>
          <w:kern w:val="2"/>
          <w:sz w:val="32"/>
          <w:szCs w:val="32"/>
          <w:lang w:eastAsia="zh-CN"/>
        </w:rPr>
        <w:t>价 × 房间数（或楼层数）” 计算对应工程费用。具体计价标准如下：</w:t>
      </w:r>
      <w:r>
        <w:rPr>
          <w:rFonts w:ascii="Cambria Math" w:hAnsi="Cambria Math" w:eastAsia="仿宋" w:cs="Cambria Math"/>
          <w:snapToGrid/>
          <w:color w:val="FF0000"/>
          <w:kern w:val="2"/>
          <w:sz w:val="32"/>
          <w:szCs w:val="32"/>
          <w:lang w:eastAsia="zh-CN"/>
        </w:rPr>
        <w:t>​</w:t>
      </w:r>
    </w:p>
    <w:p w14:paraId="7F8CBE57">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hint="eastAsia" w:ascii="仿宋" w:hAnsi="仿宋" w:eastAsia="仿宋" w:cs="Times New Roman"/>
          <w:snapToGrid/>
          <w:color w:val="FF0000"/>
          <w:kern w:val="2"/>
          <w:sz w:val="32"/>
          <w:szCs w:val="32"/>
          <w:lang w:eastAsia="zh-CN"/>
        </w:rPr>
        <w:t>A、</w:t>
      </w:r>
      <w:r>
        <w:rPr>
          <w:rFonts w:ascii="仿宋" w:hAnsi="仿宋" w:eastAsia="仿宋" w:cs="Times New Roman"/>
          <w:snapToGrid/>
          <w:color w:val="FF0000"/>
          <w:kern w:val="2"/>
          <w:sz w:val="32"/>
          <w:szCs w:val="32"/>
          <w:lang w:eastAsia="zh-CN"/>
        </w:rPr>
        <w:t>4 - 13 层 4 人间房间装修改造：共 2</w:t>
      </w:r>
      <w:r>
        <w:rPr>
          <w:rFonts w:hint="eastAsia" w:ascii="仿宋" w:hAnsi="仿宋" w:eastAsia="仿宋" w:cs="Times New Roman"/>
          <w:snapToGrid/>
          <w:color w:val="FF0000"/>
          <w:kern w:val="2"/>
          <w:sz w:val="32"/>
          <w:szCs w:val="32"/>
          <w:lang w:eastAsia="zh-CN"/>
        </w:rPr>
        <w:t>29</w:t>
      </w:r>
      <w:r>
        <w:rPr>
          <w:rFonts w:ascii="仿宋" w:hAnsi="仿宋" w:eastAsia="仿宋" w:cs="Times New Roman"/>
          <w:snapToGrid/>
          <w:color w:val="FF0000"/>
          <w:kern w:val="2"/>
          <w:sz w:val="32"/>
          <w:szCs w:val="32"/>
          <w:lang w:eastAsia="zh-CN"/>
        </w:rPr>
        <w:t xml:space="preserve"> 间，单价为</w:t>
      </w:r>
      <w:r>
        <w:rPr>
          <w:rFonts w:hint="eastAsia" w:ascii="仿宋" w:hAnsi="仿宋" w:eastAsia="仿宋" w:cs="Times New Roman"/>
          <w:snapToGrid/>
          <w:color w:val="FF0000"/>
          <w:kern w:val="2"/>
          <w:sz w:val="32"/>
          <w:szCs w:val="32"/>
          <w:u w:val="single"/>
          <w:lang w:eastAsia="zh-CN"/>
        </w:rPr>
        <w:t xml:space="preserve">          元/间</w:t>
      </w:r>
      <w:r>
        <w:rPr>
          <w:rFonts w:ascii="仿宋" w:hAnsi="仿宋" w:eastAsia="仿宋" w:cs="Times New Roman"/>
          <w:snapToGrid/>
          <w:color w:val="FF0000"/>
          <w:kern w:val="2"/>
          <w:sz w:val="32"/>
          <w:szCs w:val="32"/>
          <w:lang w:eastAsia="zh-CN"/>
        </w:rPr>
        <w:t>（大写：</w:t>
      </w:r>
      <w:r>
        <w:rPr>
          <w:rFonts w:hint="eastAsia" w:ascii="仿宋" w:hAnsi="仿宋" w:eastAsia="仿宋" w:cs="Times New Roman"/>
          <w:snapToGrid/>
          <w:color w:val="FF0000"/>
          <w:kern w:val="2"/>
          <w:sz w:val="32"/>
          <w:szCs w:val="32"/>
          <w:lang w:eastAsia="zh-CN"/>
        </w:rPr>
        <w:t xml:space="preserve">           </w:t>
      </w:r>
      <w:r>
        <w:rPr>
          <w:rFonts w:ascii="仿宋" w:hAnsi="仿宋" w:eastAsia="仿宋" w:cs="Times New Roman"/>
          <w:snapToGrid/>
          <w:color w:val="FF0000"/>
          <w:kern w:val="2"/>
          <w:sz w:val="32"/>
          <w:szCs w:val="32"/>
          <w:lang w:eastAsia="zh-CN"/>
        </w:rPr>
        <w:t>）/ 间；</w:t>
      </w:r>
      <w:r>
        <w:rPr>
          <w:rFonts w:ascii="Cambria Math" w:hAnsi="Cambria Math" w:eastAsia="仿宋" w:cs="Cambria Math"/>
          <w:snapToGrid/>
          <w:color w:val="FF0000"/>
          <w:kern w:val="2"/>
          <w:sz w:val="32"/>
          <w:szCs w:val="32"/>
          <w:lang w:eastAsia="zh-CN"/>
        </w:rPr>
        <w:t>​​</w:t>
      </w:r>
    </w:p>
    <w:p w14:paraId="556EFF79">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hint="eastAsia" w:ascii="仿宋" w:hAnsi="仿宋" w:eastAsia="仿宋" w:cs="Times New Roman"/>
          <w:snapToGrid/>
          <w:color w:val="FF0000"/>
          <w:kern w:val="2"/>
          <w:sz w:val="32"/>
          <w:szCs w:val="32"/>
          <w:lang w:eastAsia="zh-CN"/>
        </w:rPr>
        <w:t>B、</w:t>
      </w:r>
      <w:r>
        <w:rPr>
          <w:rFonts w:ascii="仿宋" w:hAnsi="仿宋" w:eastAsia="仿宋" w:cs="Times New Roman"/>
          <w:snapToGrid/>
          <w:color w:val="FF0000"/>
          <w:kern w:val="2"/>
          <w:sz w:val="32"/>
          <w:szCs w:val="32"/>
          <w:lang w:eastAsia="zh-CN"/>
        </w:rPr>
        <w:t>3 层 6 人间</w:t>
      </w:r>
      <w:r>
        <w:rPr>
          <w:rFonts w:hint="eastAsia" w:ascii="仿宋" w:hAnsi="仿宋" w:eastAsia="仿宋" w:cs="Times New Roman"/>
          <w:snapToGrid/>
          <w:color w:val="FF0000"/>
          <w:kern w:val="2"/>
          <w:sz w:val="32"/>
          <w:szCs w:val="32"/>
          <w:lang w:eastAsia="zh-CN"/>
        </w:rPr>
        <w:t>厕所</w:t>
      </w:r>
      <w:r>
        <w:rPr>
          <w:rFonts w:ascii="仿宋" w:hAnsi="仿宋" w:eastAsia="仿宋" w:cs="Times New Roman"/>
          <w:snapToGrid/>
          <w:color w:val="FF0000"/>
          <w:kern w:val="2"/>
          <w:sz w:val="32"/>
          <w:szCs w:val="32"/>
          <w:lang w:eastAsia="zh-CN"/>
        </w:rPr>
        <w:t>装修改造：共 23 间，单价为</w:t>
      </w:r>
    </w:p>
    <w:p w14:paraId="1E4BA624">
      <w:pPr>
        <w:widowControl w:val="0"/>
        <w:kinsoku/>
        <w:autoSpaceDE/>
        <w:autoSpaceDN/>
        <w:adjustRightInd/>
        <w:snapToGrid/>
        <w:spacing w:line="500" w:lineRule="exact"/>
        <w:jc w:val="both"/>
        <w:textAlignment w:val="auto"/>
        <w:rPr>
          <w:rFonts w:hint="eastAsia" w:ascii="仿宋" w:hAnsi="仿宋" w:eastAsia="仿宋" w:cs="Times New Roman"/>
          <w:snapToGrid/>
          <w:color w:val="FF0000"/>
          <w:kern w:val="2"/>
          <w:sz w:val="32"/>
          <w:szCs w:val="32"/>
          <w:lang w:eastAsia="zh-CN"/>
        </w:rPr>
      </w:pPr>
      <w:r>
        <w:rPr>
          <w:rFonts w:ascii="仿宋" w:hAnsi="仿宋" w:eastAsia="仿宋" w:cs="Times New Roman"/>
          <w:snapToGrid/>
          <w:color w:val="FF0000"/>
          <w:kern w:val="2"/>
          <w:sz w:val="32"/>
          <w:szCs w:val="32"/>
          <w:lang w:eastAsia="zh-CN"/>
        </w:rPr>
        <w:t xml:space="preserve"> </w:t>
      </w:r>
      <w:r>
        <w:rPr>
          <w:rFonts w:hint="eastAsia" w:ascii="仿宋" w:hAnsi="仿宋" w:eastAsia="仿宋" w:cs="Times New Roman"/>
          <w:snapToGrid/>
          <w:color w:val="FF0000"/>
          <w:kern w:val="2"/>
          <w:sz w:val="32"/>
          <w:szCs w:val="32"/>
          <w:u w:val="single"/>
          <w:lang w:eastAsia="zh-CN"/>
        </w:rPr>
        <w:t xml:space="preserve">           元/间</w:t>
      </w:r>
      <w:r>
        <w:rPr>
          <w:rFonts w:ascii="仿宋" w:hAnsi="仿宋" w:eastAsia="仿宋" w:cs="Times New Roman"/>
          <w:snapToGrid/>
          <w:color w:val="FF0000"/>
          <w:kern w:val="2"/>
          <w:sz w:val="32"/>
          <w:szCs w:val="32"/>
          <w:lang w:eastAsia="zh-CN"/>
        </w:rPr>
        <w:t>（大写：</w:t>
      </w:r>
      <w:r>
        <w:rPr>
          <w:rFonts w:hint="eastAsia" w:ascii="仿宋" w:hAnsi="仿宋" w:eastAsia="仿宋" w:cs="Times New Roman"/>
          <w:snapToGrid/>
          <w:color w:val="FF0000"/>
          <w:kern w:val="2"/>
          <w:sz w:val="32"/>
          <w:szCs w:val="32"/>
          <w:lang w:eastAsia="zh-CN"/>
        </w:rPr>
        <w:t xml:space="preserve">           </w:t>
      </w:r>
      <w:r>
        <w:rPr>
          <w:rFonts w:ascii="仿宋" w:hAnsi="仿宋" w:eastAsia="仿宋" w:cs="Times New Roman"/>
          <w:snapToGrid/>
          <w:color w:val="FF0000"/>
          <w:kern w:val="2"/>
          <w:sz w:val="32"/>
          <w:szCs w:val="32"/>
          <w:lang w:eastAsia="zh-CN"/>
        </w:rPr>
        <w:t>）/ 间；</w:t>
      </w:r>
      <w:r>
        <w:rPr>
          <w:rFonts w:ascii="Cambria Math" w:hAnsi="Cambria Math" w:eastAsia="仿宋" w:cs="Cambria Math"/>
          <w:snapToGrid/>
          <w:color w:val="FF0000"/>
          <w:kern w:val="2"/>
          <w:sz w:val="32"/>
          <w:szCs w:val="32"/>
          <w:lang w:eastAsia="zh-CN"/>
        </w:rPr>
        <w:t>​</w:t>
      </w:r>
    </w:p>
    <w:p w14:paraId="57317D1B">
      <w:pPr>
        <w:widowControl w:val="0"/>
        <w:numPr>
          <w:ilvl w:val="0"/>
          <w:numId w:val="1"/>
        </w:numPr>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ascii="仿宋" w:hAnsi="仿宋" w:eastAsia="仿宋" w:cs="Times New Roman"/>
          <w:snapToGrid/>
          <w:color w:val="FF0000"/>
          <w:kern w:val="2"/>
          <w:sz w:val="32"/>
          <w:szCs w:val="32"/>
          <w:lang w:eastAsia="zh-CN"/>
        </w:rPr>
        <w:t>公区过道装修改造：共 1</w:t>
      </w:r>
      <w:r>
        <w:rPr>
          <w:rFonts w:hint="eastAsia" w:ascii="仿宋" w:hAnsi="仿宋" w:eastAsia="仿宋" w:cs="Times New Roman"/>
          <w:snapToGrid/>
          <w:color w:val="FF0000"/>
          <w:kern w:val="2"/>
          <w:sz w:val="32"/>
          <w:szCs w:val="32"/>
          <w:lang w:eastAsia="zh-CN"/>
        </w:rPr>
        <w:t>0</w:t>
      </w:r>
      <w:r>
        <w:rPr>
          <w:rFonts w:ascii="仿宋" w:hAnsi="仿宋" w:eastAsia="仿宋" w:cs="Times New Roman"/>
          <w:snapToGrid/>
          <w:color w:val="FF0000"/>
          <w:kern w:val="2"/>
          <w:sz w:val="32"/>
          <w:szCs w:val="32"/>
          <w:lang w:eastAsia="zh-CN"/>
        </w:rPr>
        <w:t xml:space="preserve"> 层，单价为</w:t>
      </w:r>
      <w:r>
        <w:rPr>
          <w:rFonts w:hint="eastAsia" w:ascii="仿宋" w:hAnsi="仿宋" w:eastAsia="仿宋" w:cs="Times New Roman"/>
          <w:snapToGrid/>
          <w:color w:val="FF0000"/>
          <w:kern w:val="2"/>
          <w:sz w:val="32"/>
          <w:szCs w:val="32"/>
          <w:u w:val="single"/>
          <w:lang w:eastAsia="zh-CN"/>
        </w:rPr>
        <w:t xml:space="preserve">      元/层  </w:t>
      </w:r>
      <w:r>
        <w:rPr>
          <w:rFonts w:ascii="仿宋" w:hAnsi="仿宋" w:eastAsia="仿宋" w:cs="Times New Roman"/>
          <w:snapToGrid/>
          <w:color w:val="FF0000"/>
          <w:kern w:val="2"/>
          <w:sz w:val="32"/>
          <w:szCs w:val="32"/>
          <w:lang w:eastAsia="zh-CN"/>
        </w:rPr>
        <w:t>（大写：</w:t>
      </w:r>
      <w:r>
        <w:rPr>
          <w:rFonts w:hint="eastAsia" w:ascii="仿宋" w:hAnsi="仿宋" w:eastAsia="仿宋" w:cs="Times New Roman"/>
          <w:snapToGrid/>
          <w:color w:val="FF0000"/>
          <w:kern w:val="2"/>
          <w:sz w:val="32"/>
          <w:szCs w:val="32"/>
          <w:lang w:eastAsia="zh-CN"/>
        </w:rPr>
        <w:t xml:space="preserve">           </w:t>
      </w:r>
      <w:r>
        <w:rPr>
          <w:rFonts w:ascii="仿宋" w:hAnsi="仿宋" w:eastAsia="仿宋" w:cs="Times New Roman"/>
          <w:snapToGrid/>
          <w:color w:val="FF0000"/>
          <w:kern w:val="2"/>
          <w:sz w:val="32"/>
          <w:szCs w:val="32"/>
          <w:lang w:eastAsia="zh-CN"/>
        </w:rPr>
        <w:t xml:space="preserve">）/ </w:t>
      </w:r>
      <w:r>
        <w:rPr>
          <w:rFonts w:hint="eastAsia" w:ascii="仿宋" w:hAnsi="仿宋" w:eastAsia="仿宋" w:cs="Times New Roman"/>
          <w:snapToGrid/>
          <w:color w:val="FF0000"/>
          <w:kern w:val="2"/>
          <w:sz w:val="32"/>
          <w:szCs w:val="32"/>
          <w:lang w:eastAsia="zh-CN"/>
        </w:rPr>
        <w:t>层</w:t>
      </w:r>
      <w:r>
        <w:rPr>
          <w:rFonts w:ascii="仿宋" w:hAnsi="仿宋" w:eastAsia="仿宋" w:cs="Times New Roman"/>
          <w:snapToGrid/>
          <w:color w:val="FF0000"/>
          <w:kern w:val="2"/>
          <w:sz w:val="32"/>
          <w:szCs w:val="32"/>
          <w:lang w:eastAsia="zh-CN"/>
        </w:rPr>
        <w:t>；</w:t>
      </w:r>
    </w:p>
    <w:p w14:paraId="20996055">
      <w:pPr>
        <w:widowControl w:val="0"/>
        <w:numPr>
          <w:ilvl w:val="0"/>
          <w:numId w:val="1"/>
        </w:numPr>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hint="eastAsia" w:ascii="仿宋" w:hAnsi="仿宋" w:eastAsia="仿宋" w:cs="Times New Roman"/>
          <w:snapToGrid/>
          <w:color w:val="FF0000"/>
          <w:kern w:val="2"/>
          <w:sz w:val="32"/>
          <w:szCs w:val="32"/>
          <w:lang w:eastAsia="zh-CN"/>
        </w:rPr>
        <w:t>其它工程装修改造：共1项，单价为</w:t>
      </w:r>
      <w:r>
        <w:rPr>
          <w:rFonts w:hint="eastAsia" w:ascii="仿宋" w:hAnsi="仿宋" w:eastAsia="仿宋" w:cs="Times New Roman"/>
          <w:snapToGrid/>
          <w:color w:val="FF0000"/>
          <w:kern w:val="2"/>
          <w:sz w:val="32"/>
          <w:szCs w:val="32"/>
          <w:u w:val="single"/>
          <w:lang w:eastAsia="zh-CN"/>
        </w:rPr>
        <w:t xml:space="preserve">      元/项</w:t>
      </w:r>
      <w:r>
        <w:rPr>
          <w:rFonts w:ascii="仿宋" w:hAnsi="仿宋" w:eastAsia="仿宋" w:cs="Times New Roman"/>
          <w:snapToGrid/>
          <w:color w:val="FF0000"/>
          <w:kern w:val="2"/>
          <w:sz w:val="32"/>
          <w:szCs w:val="32"/>
          <w:lang w:eastAsia="zh-CN"/>
        </w:rPr>
        <w:t>（大写：</w:t>
      </w:r>
      <w:r>
        <w:rPr>
          <w:rFonts w:hint="eastAsia" w:ascii="仿宋" w:hAnsi="仿宋" w:eastAsia="仿宋" w:cs="Times New Roman"/>
          <w:snapToGrid/>
          <w:color w:val="FF0000"/>
          <w:kern w:val="2"/>
          <w:sz w:val="32"/>
          <w:szCs w:val="32"/>
          <w:lang w:eastAsia="zh-CN"/>
        </w:rPr>
        <w:t xml:space="preserve">           </w:t>
      </w:r>
      <w:r>
        <w:rPr>
          <w:rFonts w:ascii="仿宋" w:hAnsi="仿宋" w:eastAsia="仿宋" w:cs="Times New Roman"/>
          <w:snapToGrid/>
          <w:color w:val="FF0000"/>
          <w:kern w:val="2"/>
          <w:sz w:val="32"/>
          <w:szCs w:val="32"/>
          <w:lang w:eastAsia="zh-CN"/>
        </w:rPr>
        <w:t xml:space="preserve">）/ </w:t>
      </w:r>
      <w:r>
        <w:rPr>
          <w:rFonts w:hint="eastAsia" w:ascii="仿宋" w:hAnsi="仿宋" w:eastAsia="仿宋" w:cs="Times New Roman"/>
          <w:snapToGrid/>
          <w:color w:val="FF0000"/>
          <w:kern w:val="2"/>
          <w:sz w:val="32"/>
          <w:szCs w:val="32"/>
          <w:lang w:eastAsia="zh-CN"/>
        </w:rPr>
        <w:t>项</w:t>
      </w:r>
      <w:r>
        <w:rPr>
          <w:rFonts w:ascii="仿宋" w:hAnsi="仿宋" w:eastAsia="仿宋" w:cs="Times New Roman"/>
          <w:snapToGrid/>
          <w:color w:val="FF0000"/>
          <w:kern w:val="2"/>
          <w:sz w:val="32"/>
          <w:szCs w:val="32"/>
          <w:lang w:eastAsia="zh-CN"/>
        </w:rPr>
        <w:t>；</w:t>
      </w:r>
      <w:r>
        <w:rPr>
          <w:rFonts w:ascii="Cambria Math" w:hAnsi="Cambria Math" w:eastAsia="仿宋" w:cs="Cambria Math"/>
          <w:snapToGrid/>
          <w:color w:val="FF0000"/>
          <w:kern w:val="2"/>
          <w:sz w:val="32"/>
          <w:szCs w:val="32"/>
          <w:lang w:eastAsia="zh-CN"/>
        </w:rPr>
        <w:t>​</w:t>
      </w:r>
    </w:p>
    <w:p w14:paraId="3711697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FF0000"/>
          <w:kern w:val="2"/>
          <w:sz w:val="32"/>
          <w:szCs w:val="32"/>
          <w:lang w:eastAsia="zh-CN"/>
        </w:rPr>
      </w:pPr>
      <w:r>
        <w:rPr>
          <w:rFonts w:hint="eastAsia" w:ascii="仿宋" w:hAnsi="仿宋" w:eastAsia="仿宋" w:cs="Times New Roman"/>
          <w:snapToGrid/>
          <w:color w:val="FF0000"/>
          <w:kern w:val="2"/>
          <w:sz w:val="32"/>
          <w:szCs w:val="32"/>
          <w:lang w:eastAsia="zh-CN"/>
        </w:rPr>
        <w:t>E、</w:t>
      </w:r>
      <w:r>
        <w:rPr>
          <w:rFonts w:ascii="仿宋" w:hAnsi="仿宋" w:eastAsia="仿宋" w:cs="Times New Roman"/>
          <w:snapToGrid/>
          <w:color w:val="FF0000"/>
          <w:kern w:val="2"/>
          <w:sz w:val="32"/>
          <w:szCs w:val="32"/>
          <w:lang w:eastAsia="zh-CN"/>
        </w:rPr>
        <w:t>本工程暂定合同总价为上述各项费用之和，即</w:t>
      </w:r>
      <w:r>
        <w:rPr>
          <w:rFonts w:ascii="仿宋" w:hAnsi="仿宋" w:eastAsia="仿宋" w:cs="Times New Roman"/>
          <w:snapToGrid/>
          <w:color w:val="FF0000"/>
          <w:kern w:val="2"/>
          <w:sz w:val="32"/>
          <w:szCs w:val="32"/>
          <w:u w:val="single"/>
          <w:lang w:eastAsia="zh-CN"/>
        </w:rPr>
        <w:t xml:space="preserve"> （大写： ）</w:t>
      </w:r>
      <w:r>
        <w:rPr>
          <w:rFonts w:ascii="仿宋" w:hAnsi="仿宋" w:eastAsia="仿宋" w:cs="Times New Roman"/>
          <w:snapToGrid/>
          <w:color w:val="FF0000"/>
          <w:kern w:val="2"/>
          <w:sz w:val="32"/>
          <w:szCs w:val="32"/>
          <w:lang w:eastAsia="zh-CN"/>
        </w:rPr>
        <w:t xml:space="preserve">。详细计价内容及计算过程见本合同附件《重庆理工职业学院国际楼 </w:t>
      </w:r>
      <w:r>
        <w:rPr>
          <w:rFonts w:hint="eastAsia" w:ascii="仿宋" w:hAnsi="仿宋" w:eastAsia="仿宋" w:cs="Times New Roman"/>
          <w:snapToGrid/>
          <w:color w:val="FF0000"/>
          <w:kern w:val="2"/>
          <w:sz w:val="32"/>
          <w:szCs w:val="32"/>
          <w:lang w:eastAsia="zh-CN"/>
        </w:rPr>
        <w:t>4</w:t>
      </w:r>
      <w:r>
        <w:rPr>
          <w:rFonts w:ascii="仿宋" w:hAnsi="仿宋" w:eastAsia="仿宋" w:cs="Times New Roman"/>
          <w:snapToGrid/>
          <w:color w:val="FF0000"/>
          <w:kern w:val="2"/>
          <w:sz w:val="32"/>
          <w:szCs w:val="32"/>
          <w:lang w:eastAsia="zh-CN"/>
        </w:rPr>
        <w:t xml:space="preserve"> - 1</w:t>
      </w:r>
      <w:r>
        <w:rPr>
          <w:rFonts w:hint="eastAsia" w:ascii="仿宋" w:hAnsi="仿宋" w:eastAsia="仿宋" w:cs="Times New Roman"/>
          <w:snapToGrid/>
          <w:color w:val="FF0000"/>
          <w:kern w:val="2"/>
          <w:sz w:val="32"/>
          <w:szCs w:val="32"/>
          <w:lang w:eastAsia="zh-CN"/>
        </w:rPr>
        <w:t>3</w:t>
      </w:r>
      <w:r>
        <w:rPr>
          <w:rFonts w:ascii="仿宋" w:hAnsi="仿宋" w:eastAsia="仿宋" w:cs="Times New Roman"/>
          <w:snapToGrid/>
          <w:color w:val="FF0000"/>
          <w:kern w:val="2"/>
          <w:sz w:val="32"/>
          <w:szCs w:val="32"/>
          <w:lang w:eastAsia="zh-CN"/>
        </w:rPr>
        <w:t xml:space="preserve"> 楼学生公寓</w:t>
      </w:r>
      <w:r>
        <w:rPr>
          <w:rFonts w:hint="eastAsia" w:ascii="仿宋" w:hAnsi="仿宋" w:eastAsia="仿宋" w:cs="Times New Roman"/>
          <w:snapToGrid/>
          <w:color w:val="FF0000"/>
          <w:kern w:val="2"/>
          <w:sz w:val="32"/>
          <w:szCs w:val="32"/>
          <w:lang w:eastAsia="zh-CN"/>
        </w:rPr>
        <w:t>及3楼厕所</w:t>
      </w:r>
      <w:r>
        <w:rPr>
          <w:rFonts w:ascii="仿宋" w:hAnsi="仿宋" w:eastAsia="仿宋" w:cs="Times New Roman"/>
          <w:snapToGrid/>
          <w:color w:val="FF0000"/>
          <w:kern w:val="2"/>
          <w:sz w:val="32"/>
          <w:szCs w:val="32"/>
          <w:lang w:eastAsia="zh-CN"/>
        </w:rPr>
        <w:t>装修改造工程工程量计价清单》（以下简称 “工程量计价清单”） 。</w:t>
      </w:r>
    </w:p>
    <w:p w14:paraId="32077968">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2.3 工程量计价清单中，清单项目实行按每间房屋（公区按每层楼）综合总价包干，清单综合包干单价包括但不限于人工费、机械费、材料费、措施费、管理费、利润、协调费、赶工费、洞口修补费、管线切缝开槽修补费（含其他专业分包）、配合费、资料档案费、</w:t>
      </w:r>
      <w:r>
        <w:rPr>
          <w:rFonts w:ascii="仿宋" w:hAnsi="仿宋" w:eastAsia="仿宋" w:cs="Times New Roman"/>
          <w:snapToGrid/>
          <w:color w:val="auto"/>
          <w:kern w:val="2"/>
          <w:sz w:val="32"/>
          <w:szCs w:val="32"/>
          <w:lang w:eastAsia="zh-Hans"/>
        </w:rPr>
        <w:t>除渣费（含单面3km运距）、</w:t>
      </w:r>
      <w:r>
        <w:rPr>
          <w:rFonts w:ascii="仿宋" w:hAnsi="仿宋" w:eastAsia="仿宋" w:cs="Times New Roman"/>
          <w:snapToGrid/>
          <w:color w:val="auto"/>
          <w:kern w:val="2"/>
          <w:sz w:val="32"/>
          <w:szCs w:val="32"/>
          <w:lang w:eastAsia="zh-CN"/>
        </w:rPr>
        <w:t>停窝工损失费、各类市场风险及其他应由乙方承担的所有费用。清单综合包干单价不因工资、物价、税率或汇率变动、保险政策变动或任何调价文件之要求而调整。工程量计价清单中的技术规格描述与施工设计图纸中要求不一致的，则视为清单综合包干单价为已综合考虑施工设计图纸要求的单价。</w:t>
      </w:r>
    </w:p>
    <w:p w14:paraId="63C964B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2.4 本工程的工程量清单计价规则执行GB50500-2013《建设工程工程量清单计价规范》。</w:t>
      </w:r>
    </w:p>
    <w:p w14:paraId="4028D94E">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2.5 本项目原则不产生计时工。</w:t>
      </w:r>
    </w:p>
    <w:p w14:paraId="7A255A9A">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2.6 本工程的临时用水和用电由乙方负责，甲方将按工程造价的0.5%在工程结算款中扣除；住宿由甲方有偿提供，住宿内的水电费由乙方自理。</w:t>
      </w:r>
    </w:p>
    <w:p w14:paraId="0611BAEA">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第三条  工程款支付</w:t>
      </w:r>
    </w:p>
    <w:p w14:paraId="713C44F3">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u w:val="single"/>
          <w:lang w:eastAsia="zh-CN"/>
        </w:rPr>
      </w:pPr>
      <w:r>
        <w:rPr>
          <w:rFonts w:ascii="仿宋" w:hAnsi="仿宋" w:eastAsia="仿宋" w:cs="Times New Roman"/>
          <w:snapToGrid/>
          <w:color w:val="auto"/>
          <w:kern w:val="2"/>
          <w:sz w:val="32"/>
          <w:szCs w:val="32"/>
          <w:lang w:eastAsia="zh-CN"/>
        </w:rPr>
        <w:t>3.1 工程合同履约保证金为</w:t>
      </w:r>
      <w:r>
        <w:rPr>
          <w:rFonts w:ascii="仿宋" w:hAnsi="仿宋" w:eastAsia="仿宋" w:cs="Times New Roman"/>
          <w:snapToGrid/>
          <w:color w:val="FF0000"/>
          <w:kern w:val="2"/>
          <w:sz w:val="32"/>
          <w:szCs w:val="32"/>
          <w:lang w:eastAsia="zh-CN"/>
        </w:rPr>
        <w:t>100000</w:t>
      </w:r>
      <w:r>
        <w:rPr>
          <w:rFonts w:hint="eastAsia" w:ascii="仿宋" w:hAnsi="仿宋" w:eastAsia="仿宋" w:cs="Times New Roman"/>
          <w:snapToGrid/>
          <w:color w:val="FF0000"/>
          <w:kern w:val="2"/>
          <w:sz w:val="32"/>
          <w:szCs w:val="32"/>
          <w:lang w:eastAsia="zh-CN"/>
        </w:rPr>
        <w:t>.00</w:t>
      </w:r>
      <w:r>
        <w:rPr>
          <w:rFonts w:ascii="仿宋" w:hAnsi="仿宋" w:eastAsia="仿宋" w:cs="Times New Roman"/>
          <w:snapToGrid/>
          <w:color w:val="auto"/>
          <w:kern w:val="2"/>
          <w:sz w:val="32"/>
          <w:szCs w:val="32"/>
          <w:lang w:eastAsia="zh-CN"/>
        </w:rPr>
        <w:t>元，签定合同时支付，此履约保证金在竣工验收合格后10日内甲方无息返还。</w:t>
      </w:r>
    </w:p>
    <w:p w14:paraId="302E02FB">
      <w:pPr>
        <w:widowControl w:val="0"/>
        <w:kinsoku/>
        <w:autoSpaceDE/>
        <w:autoSpaceDN/>
        <w:adjustRightInd/>
        <w:snapToGrid/>
        <w:spacing w:line="360" w:lineRule="auto"/>
        <w:ind w:firstLine="640" w:firstLineChars="200"/>
        <w:jc w:val="both"/>
        <w:textAlignment w:val="auto"/>
        <w:rPr>
          <w:rFonts w:hint="eastAsia" w:ascii="仿宋" w:hAnsi="仿宋" w:eastAsia="仿宋" w:cs="Times New Roman"/>
          <w:snapToGrid/>
          <w:kern w:val="2"/>
          <w:sz w:val="32"/>
          <w:szCs w:val="32"/>
          <w:lang w:eastAsia="zh-CN"/>
        </w:rPr>
      </w:pPr>
      <w:r>
        <w:rPr>
          <w:rFonts w:ascii="仿宋" w:hAnsi="仿宋" w:eastAsia="仿宋" w:cs="Times New Roman"/>
          <w:snapToGrid/>
          <w:color w:val="auto"/>
          <w:kern w:val="2"/>
          <w:sz w:val="32"/>
          <w:szCs w:val="32"/>
          <w:lang w:eastAsia="zh-CN"/>
        </w:rPr>
        <w:t>3.2 工程款支付：</w:t>
      </w:r>
      <w:r>
        <w:rPr>
          <w:rFonts w:ascii="仿宋" w:hAnsi="仿宋" w:eastAsia="仿宋" w:cs="Times New Roman"/>
          <w:snapToGrid/>
          <w:kern w:val="2"/>
          <w:sz w:val="32"/>
          <w:szCs w:val="32"/>
          <w:lang w:eastAsia="zh-CN"/>
        </w:rPr>
        <w:t>本工程无预付款，本工程工程款分两次进行支付。</w:t>
      </w:r>
    </w:p>
    <w:p w14:paraId="703535D1">
      <w:pPr>
        <w:widowControl w:val="0"/>
        <w:kinsoku/>
        <w:autoSpaceDE/>
        <w:autoSpaceDN/>
        <w:adjustRightInd/>
        <w:snapToGrid/>
        <w:spacing w:after="12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kern w:val="2"/>
          <w:sz w:val="32"/>
          <w:szCs w:val="32"/>
          <w:lang w:eastAsia="zh-CN"/>
        </w:rPr>
        <w:t xml:space="preserve">    3.2.1工程款第一次支付：整个工程全部按合同约定全部完工后，经甲方组织相关人员进行现场查验，符合合同约定及行业验收标准，乙方提供相应的自查报告及整改计划（针对查验中发现的小问题）。甲方在确认后在2025年9月30日前支付合同总价款的50%。</w:t>
      </w:r>
    </w:p>
    <w:p w14:paraId="445E7C93">
      <w:pPr>
        <w:widowControl w:val="0"/>
        <w:kinsoku/>
        <w:autoSpaceDE/>
        <w:autoSpaceDN/>
        <w:adjustRightInd/>
        <w:snapToGrid/>
        <w:spacing w:line="360" w:lineRule="auto"/>
        <w:ind w:firstLine="640" w:firstLineChars="200"/>
        <w:jc w:val="both"/>
        <w:textAlignment w:val="auto"/>
        <w:rPr>
          <w:rFonts w:hint="eastAsia" w:ascii="仿宋" w:hAnsi="仿宋" w:eastAsia="仿宋" w:cs="Times New Roman"/>
          <w:snapToGrid/>
          <w:kern w:val="2"/>
          <w:sz w:val="32"/>
          <w:szCs w:val="32"/>
          <w:lang w:eastAsia="zh-CN"/>
        </w:rPr>
      </w:pPr>
      <w:r>
        <w:rPr>
          <w:rFonts w:ascii="仿宋" w:hAnsi="仿宋" w:eastAsia="仿宋" w:cs="Times New Roman"/>
          <w:snapToGrid/>
          <w:kern w:val="2"/>
          <w:sz w:val="32"/>
          <w:szCs w:val="32"/>
          <w:lang w:eastAsia="zh-CN"/>
        </w:rPr>
        <w:t>3.2.2工程款第二次支付：整个工程完工并全部完成竣工验收合格后，乙方在28日内递交3套完整的结算资料和竣工资料（包括但不限于结算书、竣工图、材料合格证明、质量保证书、隐蔽工程验收记录、施工日志以及其它能够证明工程按合同要求完成的相关文件资料，电子文档及纸质文档）至甲方，甲方在收到完整的相关结算资料和竣工资料后30日内完成核对并结算办理完成，在2026年9月30日前支付至结算金额的95%。</w:t>
      </w:r>
      <w:r>
        <w:rPr>
          <w:rFonts w:hint="eastAsia" w:ascii="仿宋" w:hAnsi="仿宋" w:eastAsia="仿宋" w:cs="Times New Roman"/>
          <w:snapToGrid/>
          <w:kern w:val="2"/>
          <w:sz w:val="32"/>
          <w:szCs w:val="32"/>
          <w:lang w:eastAsia="zh-CN"/>
        </w:rPr>
        <w:t>5%为质保金（含其他工程二年质保金2%，防水工程五年质保金3%）</w:t>
      </w:r>
    </w:p>
    <w:p w14:paraId="77DDF1BC">
      <w:pPr>
        <w:widowControl w:val="0"/>
        <w:kinsoku/>
        <w:autoSpaceDE/>
        <w:autoSpaceDN/>
        <w:adjustRightInd/>
        <w:snapToGrid/>
        <w:spacing w:line="360" w:lineRule="auto"/>
        <w:ind w:firstLine="640" w:firstLineChars="200"/>
        <w:jc w:val="both"/>
        <w:textAlignment w:val="auto"/>
        <w:rPr>
          <w:rFonts w:hint="eastAsia" w:ascii="仿宋" w:hAnsi="仿宋" w:eastAsia="仿宋" w:cs="Times New Roman"/>
          <w:snapToGrid/>
          <w:kern w:val="2"/>
          <w:sz w:val="32"/>
          <w:szCs w:val="32"/>
          <w:lang w:eastAsia="zh-CN"/>
        </w:rPr>
      </w:pPr>
      <w:r>
        <w:rPr>
          <w:rFonts w:ascii="仿宋" w:hAnsi="仿宋" w:eastAsia="仿宋" w:cs="Times New Roman"/>
          <w:snapToGrid/>
          <w:kern w:val="2"/>
          <w:sz w:val="32"/>
          <w:szCs w:val="32"/>
          <w:lang w:eastAsia="zh-CN"/>
        </w:rPr>
        <w:t>3.2.3 本工程质量缺陷责任期为防水工程5年,其他工程2年(完工投产后的人为损坏不算质量缺陷)。其他工程质量责任期期满后 10日内甲方扣除其他工程质量项下的应扣款项后无息退还剩余</w:t>
      </w:r>
      <w:r>
        <w:rPr>
          <w:rFonts w:hint="eastAsia" w:ascii="仿宋" w:hAnsi="仿宋" w:eastAsia="仿宋" w:cs="Times New Roman"/>
          <w:snapToGrid/>
          <w:kern w:val="2"/>
          <w:sz w:val="32"/>
          <w:szCs w:val="32"/>
          <w:lang w:eastAsia="zh-CN"/>
        </w:rPr>
        <w:t>2</w:t>
      </w:r>
      <w:r>
        <w:rPr>
          <w:rFonts w:ascii="仿宋" w:hAnsi="仿宋" w:eastAsia="仿宋" w:cs="Times New Roman"/>
          <w:snapToGrid/>
          <w:kern w:val="2"/>
          <w:sz w:val="32"/>
          <w:szCs w:val="32"/>
          <w:lang w:eastAsia="zh-CN"/>
        </w:rPr>
        <w:t xml:space="preserve">%的质保金。防水工程质量责任期期满后 10日内甲方扣除防水工程质量项下的应扣款项后无息退还剩余 </w:t>
      </w:r>
      <w:r>
        <w:rPr>
          <w:rFonts w:hint="eastAsia" w:ascii="仿宋" w:hAnsi="仿宋" w:eastAsia="仿宋" w:cs="Times New Roman"/>
          <w:snapToGrid/>
          <w:kern w:val="2"/>
          <w:sz w:val="32"/>
          <w:szCs w:val="32"/>
          <w:lang w:eastAsia="zh-CN"/>
        </w:rPr>
        <w:t>3</w:t>
      </w:r>
      <w:r>
        <w:rPr>
          <w:rFonts w:ascii="仿宋" w:hAnsi="仿宋" w:eastAsia="仿宋" w:cs="Times New Roman"/>
          <w:snapToGrid/>
          <w:kern w:val="2"/>
          <w:sz w:val="32"/>
          <w:szCs w:val="32"/>
          <w:lang w:eastAsia="zh-CN"/>
        </w:rPr>
        <w:t>% 的质保金。</w:t>
      </w:r>
    </w:p>
    <w:p w14:paraId="188FAD70">
      <w:pPr>
        <w:widowControl w:val="0"/>
        <w:kinsoku/>
        <w:autoSpaceDE/>
        <w:autoSpaceDN/>
        <w:adjustRightInd/>
        <w:snapToGrid/>
        <w:spacing w:line="360" w:lineRule="auto"/>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kern w:val="2"/>
          <w:sz w:val="32"/>
          <w:szCs w:val="32"/>
          <w:lang w:eastAsia="zh-CN"/>
        </w:rPr>
        <w:t xml:space="preserve">3.2.4 </w:t>
      </w:r>
      <w:r>
        <w:rPr>
          <w:rFonts w:ascii="仿宋" w:hAnsi="仿宋" w:eastAsia="仿宋" w:cs="Times New Roman"/>
          <w:snapToGrid/>
          <w:color w:val="auto"/>
          <w:kern w:val="2"/>
          <w:sz w:val="32"/>
          <w:szCs w:val="32"/>
          <w:lang w:eastAsia="zh-CN"/>
        </w:rPr>
        <w:t>甲方支付每笔款项前，乙方需开具增值税普通发票。</w:t>
      </w:r>
    </w:p>
    <w:p w14:paraId="5AFD6A24">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四</w:t>
      </w:r>
      <w:r>
        <w:rPr>
          <w:rFonts w:ascii="仿宋" w:hAnsi="仿宋" w:eastAsia="仿宋" w:cs="Times New Roman"/>
          <w:b/>
          <w:bCs/>
          <w:snapToGrid/>
          <w:color w:val="auto"/>
          <w:kern w:val="2"/>
          <w:sz w:val="32"/>
          <w:szCs w:val="32"/>
          <w:lang w:eastAsia="zh-CN"/>
        </w:rPr>
        <w:t>条  工期</w:t>
      </w:r>
    </w:p>
    <w:p w14:paraId="46DDD9B8">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本工程工期最迟全面完工时间为2025年8月25日,最迟竣工日期不得延误若乙方未在约定时间内全面完工，按本合同第8.2条约定承担违约责任。</w:t>
      </w:r>
    </w:p>
    <w:p w14:paraId="47F63E3C">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五</w:t>
      </w:r>
      <w:r>
        <w:rPr>
          <w:rFonts w:ascii="仿宋" w:hAnsi="仿宋" w:eastAsia="仿宋" w:cs="Times New Roman"/>
          <w:b/>
          <w:bCs/>
          <w:snapToGrid/>
          <w:color w:val="auto"/>
          <w:kern w:val="2"/>
          <w:sz w:val="32"/>
          <w:szCs w:val="32"/>
          <w:lang w:eastAsia="zh-CN"/>
        </w:rPr>
        <w:t>条  甲乙双方驻施工现场代表</w:t>
      </w:r>
    </w:p>
    <w:p w14:paraId="4CBE6E32">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甲方代表：高承权， 电话：18983292559</w:t>
      </w:r>
    </w:p>
    <w:p w14:paraId="40964B4E">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乙方代表：      ， 电话：</w:t>
      </w:r>
    </w:p>
    <w:p w14:paraId="60D3D2B0">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六</w:t>
      </w:r>
      <w:r>
        <w:rPr>
          <w:rFonts w:ascii="仿宋" w:hAnsi="仿宋" w:eastAsia="仿宋" w:cs="Times New Roman"/>
          <w:b/>
          <w:bCs/>
          <w:snapToGrid/>
          <w:color w:val="auto"/>
          <w:kern w:val="2"/>
          <w:sz w:val="32"/>
          <w:szCs w:val="32"/>
          <w:lang w:eastAsia="zh-CN"/>
        </w:rPr>
        <w:t>条  甲方的权利和义务</w:t>
      </w:r>
    </w:p>
    <w:p w14:paraId="3946A499">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6.1 施工场地具备开工条件，为乙方办理施工所涉及的各种申请、批件等手续。开通施工场地通道，指定施工水、电接口（驳接费用由乙方承担）。</w:t>
      </w:r>
    </w:p>
    <w:p w14:paraId="6625425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6.2 安排专人监督检查工程质量、进度，负责施工期间机械、设备、材料到场的验收及中间质量验收，并协调解决施工中的其他问题。</w:t>
      </w:r>
    </w:p>
    <w:p w14:paraId="3E6E1B3B">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6.3 开工前2天，将厕所内的洗衣机拆除并搬离，为承包人进场做好准备工作</w:t>
      </w:r>
    </w:p>
    <w:p w14:paraId="21177F4D">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6.4 根据合同约定，按时足额支付工程款。</w:t>
      </w:r>
    </w:p>
    <w:p w14:paraId="1D7B70C9">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七</w:t>
      </w:r>
      <w:r>
        <w:rPr>
          <w:rFonts w:ascii="仿宋" w:hAnsi="仿宋" w:eastAsia="仿宋" w:cs="Times New Roman"/>
          <w:b/>
          <w:bCs/>
          <w:snapToGrid/>
          <w:color w:val="auto"/>
          <w:kern w:val="2"/>
          <w:sz w:val="32"/>
          <w:szCs w:val="32"/>
          <w:lang w:eastAsia="zh-CN"/>
        </w:rPr>
        <w:t>条  乙方的权利和义务</w:t>
      </w:r>
    </w:p>
    <w:p w14:paraId="23A29142">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 按照甲方认可的设计方案及合同条款组织施工，不得将其承包的工程转包给他人，否则甲方有权解除合同，并按预付款（首次付款额）的双倍赔偿甲方损失。</w:t>
      </w:r>
    </w:p>
    <w:p w14:paraId="2EAB5A5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7.2 制定施工组织方案，保证对所承建的工程严格按照施工图及说明、施工规范和质量验收标准，精心组织施工，并按要求做好各项规定资料，本工程的基础资料收集需符合建设工程档案管理的规定。</w:t>
      </w:r>
    </w:p>
    <w:p w14:paraId="7EB5420C">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7.3 接受甲方和工程监理指定的现场代表的工作安排及质量监督，保证工程质量。及时向甲方上报经济技术指标、工程进度，按时提供技术资料及需要上报的各种报表。</w:t>
      </w:r>
    </w:p>
    <w:p w14:paraId="0AB3B807">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7.4 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对口部门主管请假，否则甲方将按缺席人数以每人每天1000元对乙方进行处罚。</w:t>
      </w:r>
    </w:p>
    <w:p w14:paraId="2BA7AD26">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7.5 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工程验收合格日之间）保持有效，施工过程中因乙方原因发生的安全事故，由乙方负责处理，一切经济责任和法律责任全部由乙方承担。</w:t>
      </w:r>
    </w:p>
    <w:p w14:paraId="5AAA650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7.6 合同签订后，设计图纸乙方不能擅自变更；否则，乙方应对给甲方造成的损失承担相应的赔偿责任。变更需经甲方书面同意。变更后的工作内容，乙方重新上报综合包干单价，经甲方审定后实施。</w:t>
      </w:r>
    </w:p>
    <w:p w14:paraId="55F23EF7">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7.7 乙方负责按照合同规定完工日期、质量、安全文明施工等有关要求编制工程总进度计划，并上报甲方审核批准。一经批准，乙方必须完全按照施工组织设计施工，不得擅自修改施工组织设计和总进度计划，乙方未上报施工组织设计则承担20000元的违约金。</w:t>
      </w:r>
    </w:p>
    <w:p w14:paraId="496674E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7.8 清单中核定的材料品牌和规格型号，乙方不得私自变更，若发生，所用不合格材料全部清理出场，并承担每次2万元的违约金。如甲方现场材料满足本工程使用需求，乙方应优先付费使用，价格按甲方采买价或者双方协商确定，在工程款中抵扣。</w:t>
      </w:r>
    </w:p>
    <w:p w14:paraId="7A9EABD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7.9 乙方应对施工现场进行保护（含其他单位的成品保护），起始时间从乙方进场后至工程竣工验收合格后撤场，施工现场的成品、半成品、材料及设备损坏或灭失的风险均由乙方承担。</w:t>
      </w:r>
    </w:p>
    <w:p w14:paraId="3433114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7.10 在工程实施过程中产生的工程变更、索赔、现场签证、工程计量、进度款支付、施工组织方案、专项方案等，需报甲方审批后方可实施。</w:t>
      </w:r>
    </w:p>
    <w:p w14:paraId="26299C4B">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7.11 配合甲方其他专业分包工作。</w:t>
      </w:r>
    </w:p>
    <w:p w14:paraId="255DAD22">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7.12 在合同约定时间内，按照施工方案和施工图完成项目施工。</w:t>
      </w:r>
    </w:p>
    <w:p w14:paraId="15C7BA8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7.13 项目完工后，按相关规定提供（若需要））竣工报告、竣工图、质保承诺、维保手册和相关资料并获得甲方的接收，配合甲方完成项目竣工验收。</w:t>
      </w:r>
    </w:p>
    <w:p w14:paraId="2A4CC52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7.14 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14:paraId="5E356F9E">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八</w:t>
      </w:r>
      <w:r>
        <w:rPr>
          <w:rFonts w:ascii="仿宋" w:hAnsi="仿宋" w:eastAsia="仿宋" w:cs="Times New Roman"/>
          <w:b/>
          <w:bCs/>
          <w:snapToGrid/>
          <w:color w:val="auto"/>
          <w:kern w:val="2"/>
          <w:sz w:val="32"/>
          <w:szCs w:val="32"/>
          <w:lang w:eastAsia="zh-CN"/>
        </w:rPr>
        <w:t>条  工程管理</w:t>
      </w:r>
    </w:p>
    <w:p w14:paraId="4307EE8B">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8.1  质量管理</w:t>
      </w:r>
    </w:p>
    <w:p w14:paraId="225724C9">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8.1.1 本工程施工质量标准及验收标准需满足国家现行的《建筑工程施工质量验收统一标准》（GB50300-2013）、《建筑安装工程施工及验收规范》和《建筑安装工程质量检验评定标准》、重庆市颁发的有关条例、规定、标准。</w:t>
      </w:r>
    </w:p>
    <w:p w14:paraId="042B082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8.1.2 本工程竣工工程质量应当达到合同约定的质量标准，质量的评定以国家或行业的质量检验评定标准为依据。因乙方原因质量达不到约定工程质量等级标准者，乙方承担违约责任。</w:t>
      </w:r>
    </w:p>
    <w:p w14:paraId="01E40DB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8.1.3 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w:t>
      </w:r>
      <w:r>
        <w:rPr>
          <w:rFonts w:ascii="仿宋" w:hAnsi="仿宋" w:eastAsia="仿宋" w:cs="Times New Roman"/>
          <w:snapToGrid/>
          <w:kern w:val="2"/>
          <w:sz w:val="32"/>
          <w:szCs w:val="32"/>
          <w:shd w:val="clear" w:color="auto" w:fill="FFFFFF"/>
          <w:lang w:eastAsia="zh-CN"/>
        </w:rPr>
        <w:t>验收不合格，承包人在发包人限定的时间内修改后重新验收，</w:t>
      </w:r>
      <w:r>
        <w:rPr>
          <w:rFonts w:ascii="仿宋" w:hAnsi="仿宋" w:eastAsia="仿宋" w:cs="Times New Roman"/>
          <w:snapToGrid/>
          <w:color w:val="auto"/>
          <w:kern w:val="2"/>
          <w:sz w:val="32"/>
          <w:szCs w:val="32"/>
          <w:lang w:eastAsia="zh-CN"/>
        </w:rPr>
        <w:t>乙方承担因质量原因造成的一切费用及违约责任。</w:t>
      </w:r>
    </w:p>
    <w:p w14:paraId="24F0028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8.1.4 乙方承包范围内安装工程均需按国家和地方有关规定试车，如因乙方原因造成工程质量不合格，乙方应承担全部责任并赔偿损失。</w:t>
      </w:r>
    </w:p>
    <w:p w14:paraId="269C9F20">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8.2  进度管理</w:t>
      </w:r>
    </w:p>
    <w:p w14:paraId="6191691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kern w:val="2"/>
          <w:sz w:val="32"/>
          <w:szCs w:val="32"/>
          <w:lang w:eastAsia="zh-CN"/>
        </w:rPr>
      </w:pPr>
      <w:r>
        <w:rPr>
          <w:rFonts w:ascii="仿宋" w:hAnsi="仿宋" w:eastAsia="仿宋" w:cs="Times New Roman"/>
          <w:snapToGrid/>
          <w:color w:val="auto"/>
          <w:kern w:val="2"/>
          <w:sz w:val="32"/>
          <w:szCs w:val="32"/>
          <w:lang w:eastAsia="zh-CN"/>
        </w:rPr>
        <w:t>8.2.1</w:t>
      </w:r>
      <w:r>
        <w:rPr>
          <w:rFonts w:ascii="仿宋" w:hAnsi="仿宋" w:eastAsia="仿宋" w:cs="Times New Roman"/>
          <w:snapToGrid/>
          <w:kern w:val="2"/>
          <w:sz w:val="32"/>
          <w:szCs w:val="32"/>
          <w:lang w:eastAsia="zh-CN"/>
        </w:rPr>
        <w:t>工期要求：本工程合同工期最迟全面完工时间为2025年8月25日。若不能按规定时间开工或延误工期，每拖延一天，扣违约金50000元/天（除甲方另有要求的和确有证据证明其他工序影响的除外），因乙方原因工期延误超过10天，甲方有权单方面解除合同。未完工程，甲方有权另行委托其它施工单位承包，乙方应无条件撤离施工现场，结算价款=已完合格工程结算值90%-不合格工程返修费用120%，并一次性赔偿甲方5万元人民币（大写：伍万元</w:t>
      </w:r>
      <w:r>
        <w:rPr>
          <w:rFonts w:hint="eastAsia" w:ascii="仿宋" w:hAnsi="仿宋" w:eastAsia="仿宋" w:cs="Times New Roman"/>
          <w:snapToGrid/>
          <w:kern w:val="2"/>
          <w:sz w:val="32"/>
          <w:szCs w:val="32"/>
          <w:lang w:eastAsia="zh-CN"/>
        </w:rPr>
        <w:t>整</w:t>
      </w:r>
      <w:r>
        <w:rPr>
          <w:rFonts w:ascii="仿宋" w:hAnsi="仿宋" w:eastAsia="仿宋" w:cs="Times New Roman"/>
          <w:snapToGrid/>
          <w:kern w:val="2"/>
          <w:sz w:val="32"/>
          <w:szCs w:val="32"/>
          <w:lang w:eastAsia="zh-CN"/>
        </w:rPr>
        <w:t>）违约金。因甲方原因造成的工期延误工期顺延。</w:t>
      </w:r>
    </w:p>
    <w:p w14:paraId="22786DD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8.2.2 进度计划：乙方根据审批后的进度计划编制月、周、日施工进度计划和作业指导书。</w:t>
      </w:r>
    </w:p>
    <w:p w14:paraId="011BBC7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8.2.3 乙方不能满足甲方进度时，甲方有权要求乙方增加人力、物力以满足工期要求，如乙方无力按甲方要求实施，则甲方有权派其他人员增援乙方工作，其增援的费用甲方按照实际支付费用的120%在拟支付乙方的工程款中扣除。</w:t>
      </w:r>
    </w:p>
    <w:p w14:paraId="2018BF8C">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8.2.4 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707933CD">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8.3  安全管理</w:t>
      </w:r>
    </w:p>
    <w:p w14:paraId="74C531EC">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8.3.1 工程开工前，乙方必须做好安全交底，必须认真贯彻有关安全施工的规章制度。严格遵守安全操作规程。</w:t>
      </w:r>
    </w:p>
    <w:p w14:paraId="4C19294A">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8.3.2 在施工过程中，严格遵守安全操作规程，如因乙方因违反消防条例、防雷规范或国家相关法律法规造成的事故以及施工中的一切安全责任事故其损均由乙方全部负责。因安全责任事故所致乙方对甲方/第三人/乙方工人的赔偿责任，乙方应当积极妥善解决并承担全部责任，否则，甲方有权从本合同结算工程款中抵扣相应款项以赔偿被侵权人。</w:t>
      </w:r>
    </w:p>
    <w:p w14:paraId="7C51CDC7">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b/>
          <w:bCs/>
          <w:snapToGrid/>
          <w:color w:val="auto"/>
          <w:kern w:val="2"/>
          <w:sz w:val="32"/>
          <w:szCs w:val="32"/>
          <w:lang w:eastAsia="zh-CN"/>
        </w:rPr>
        <w:t>8.4  乙方在项目实施中，必须完成的项目文档</w:t>
      </w:r>
      <w:r>
        <w:rPr>
          <w:rFonts w:ascii="仿宋" w:hAnsi="仿宋" w:eastAsia="仿宋" w:cs="Times New Roman"/>
          <w:snapToGrid/>
          <w:color w:val="auto"/>
          <w:kern w:val="2"/>
          <w:sz w:val="32"/>
          <w:szCs w:val="32"/>
          <w:lang w:eastAsia="zh-CN"/>
        </w:rPr>
        <w:t>：</w:t>
      </w:r>
    </w:p>
    <w:p w14:paraId="69503996">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8.4.1 进场的材料和设备必须提供完整的证明资料、报验手续。</w:t>
      </w:r>
    </w:p>
    <w:p w14:paraId="45BE17B8">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8.4.2 项目的各分项任务（含隐蔽工程等）自检合格后，完成报验手续。</w:t>
      </w:r>
    </w:p>
    <w:p w14:paraId="28A0BAB9">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b/>
          <w:bCs/>
          <w:snapToGrid/>
          <w:color w:val="auto"/>
          <w:kern w:val="2"/>
          <w:sz w:val="32"/>
          <w:szCs w:val="32"/>
          <w:lang w:eastAsia="zh-CN"/>
        </w:rPr>
        <w:t xml:space="preserve">8.5 </w:t>
      </w:r>
      <w:r>
        <w:rPr>
          <w:rFonts w:ascii="仿宋" w:hAnsi="仿宋" w:eastAsia="仿宋" w:cs="Times New Roman"/>
          <w:snapToGrid/>
          <w:color w:val="auto"/>
          <w:kern w:val="2"/>
          <w:sz w:val="32"/>
          <w:szCs w:val="32"/>
          <w:lang w:eastAsia="zh-CN"/>
        </w:rPr>
        <w:t>项目验收前，乙方必须将项目的过程及竣工相关资料一并移交给甲方，并配合甲方进行项目验收工作。</w:t>
      </w:r>
    </w:p>
    <w:p w14:paraId="39280C9F">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w:t>
      </w:r>
      <w:r>
        <w:rPr>
          <w:rFonts w:ascii="仿宋" w:hAnsi="仿宋" w:eastAsia="仿宋" w:cs="Times New Roman"/>
          <w:b/>
          <w:bCs/>
          <w:snapToGrid/>
          <w:color w:val="auto"/>
          <w:kern w:val="2"/>
          <w:sz w:val="32"/>
          <w:szCs w:val="32"/>
          <w:lang w:eastAsia="zh-Hans"/>
        </w:rPr>
        <w:t>九</w:t>
      </w:r>
      <w:r>
        <w:rPr>
          <w:rFonts w:ascii="仿宋" w:hAnsi="仿宋" w:eastAsia="仿宋" w:cs="Times New Roman"/>
          <w:b/>
          <w:bCs/>
          <w:snapToGrid/>
          <w:color w:val="auto"/>
          <w:kern w:val="2"/>
          <w:sz w:val="32"/>
          <w:szCs w:val="32"/>
          <w:lang w:eastAsia="zh-CN"/>
        </w:rPr>
        <w:t>条  材料设备的验收</w:t>
      </w:r>
    </w:p>
    <w:p w14:paraId="5078F93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9.1 所有进场的设备、材料，乙方都必须提供其出厂合格证、质检报告及设备使用说明书等。</w:t>
      </w:r>
    </w:p>
    <w:p w14:paraId="4BFCA6F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9.2 乙方应在设备、材料进场24小时前通知甲方代表及其他相关人员验收，按甲方规定程序报验。</w:t>
      </w:r>
    </w:p>
    <w:p w14:paraId="369D32BC">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9.3 材料和设备进场后，统一由乙方负责保管和使用，如因乙方在保管过程中有重大失误而造成的材料损失，应由乙方负责。</w:t>
      </w:r>
    </w:p>
    <w:p w14:paraId="47B01F34">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第十条  竣工验收及结算</w:t>
      </w:r>
    </w:p>
    <w:p w14:paraId="4AA9DD9D">
      <w:pPr>
        <w:widowControl w:val="0"/>
        <w:kinsoku/>
        <w:autoSpaceDE/>
        <w:autoSpaceDN/>
        <w:adjustRightInd/>
        <w:snapToGrid/>
        <w:spacing w:line="56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10.1 </w:t>
      </w:r>
      <w:r>
        <w:rPr>
          <w:rFonts w:hint="eastAsia" w:ascii="仿宋" w:hAnsi="仿宋" w:eastAsia="仿宋" w:cs="Times New Roman"/>
          <w:snapToGrid/>
          <w:color w:val="auto"/>
          <w:kern w:val="2"/>
          <w:sz w:val="32"/>
          <w:szCs w:val="32"/>
          <w:lang w:eastAsia="zh-CN"/>
        </w:rPr>
        <w:t>本工程为房间固定综合包干总价（含税）合同，工程量和工程项增加不增加。减少超过3%的，超过3%的部分按实际工程量计算减少。</w:t>
      </w:r>
    </w:p>
    <w:p w14:paraId="71A7B410">
      <w:pPr>
        <w:widowControl w:val="0"/>
        <w:kinsoku/>
        <w:autoSpaceDE/>
        <w:autoSpaceDN/>
        <w:adjustRightInd/>
        <w:snapToGrid/>
        <w:spacing w:after="120" w:line="56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hint="eastAsia" w:ascii="仿宋" w:hAnsi="仿宋" w:eastAsia="仿宋" w:cs="Times New Roman"/>
          <w:snapToGrid/>
          <w:color w:val="auto"/>
          <w:kern w:val="2"/>
          <w:sz w:val="32"/>
          <w:szCs w:val="32"/>
          <w:lang w:eastAsia="zh-CN"/>
        </w:rPr>
        <w:t xml:space="preserve">10.2 </w:t>
      </w:r>
      <w:r>
        <w:rPr>
          <w:rFonts w:ascii="仿宋" w:hAnsi="仿宋" w:eastAsia="仿宋" w:cs="Times New Roman"/>
          <w:snapToGrid/>
          <w:color w:val="auto"/>
          <w:kern w:val="2"/>
          <w:sz w:val="32"/>
          <w:szCs w:val="32"/>
          <w:lang w:eastAsia="zh-CN"/>
        </w:rPr>
        <w:t>整个工程全部完成竣工验收合格后，乙方28日内递交三套完整的竣工结算书及相关结算资料（含竣工图、电子资料)至甲方，甲方在收到完整的结算书及相关结算资料后30日内完成核对并确认金额。最终结算金额以甲方审计结果或其委托的社会审计机构的审计结果为准。</w:t>
      </w:r>
    </w:p>
    <w:p w14:paraId="49B3B675">
      <w:pPr>
        <w:widowControl w:val="0"/>
        <w:kinsoku/>
        <w:autoSpaceDE/>
        <w:autoSpaceDN/>
        <w:adjustRightInd/>
        <w:snapToGrid/>
        <w:spacing w:line="56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10.</w:t>
      </w:r>
      <w:r>
        <w:rPr>
          <w:rFonts w:hint="eastAsia" w:ascii="仿宋" w:hAnsi="仿宋" w:eastAsia="仿宋" w:cs="Times New Roman"/>
          <w:snapToGrid/>
          <w:color w:val="auto"/>
          <w:kern w:val="2"/>
          <w:sz w:val="32"/>
          <w:szCs w:val="32"/>
          <w:lang w:eastAsia="zh-CN"/>
        </w:rPr>
        <w:t>3</w:t>
      </w:r>
      <w:r>
        <w:rPr>
          <w:rFonts w:ascii="仿宋" w:hAnsi="仿宋" w:eastAsia="仿宋" w:cs="Times New Roman"/>
          <w:snapToGrid/>
          <w:color w:val="auto"/>
          <w:kern w:val="2"/>
          <w:sz w:val="32"/>
          <w:szCs w:val="32"/>
          <w:lang w:eastAsia="zh-CN"/>
        </w:rPr>
        <w:t xml:space="preserve"> 乙方合理、据实编制项目结算书，甲方委托社会审计机构审计的，送审结算金额高于最终审结金额8%（含）以上的，乙方承担本项目的审计费；送审结算金额高于最终审结金额5%（含）以上8%以下的，乙方承担本项目审计费的60%；对纳入甲方审计机构审计的项目，按实际审计结果进行项目结算，并按审减金额2.5%的标准由乙方承担审计费。乙方承担的审计费从工程项目结算款中扣除。</w:t>
      </w:r>
    </w:p>
    <w:p w14:paraId="0E6B8F08">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10.</w:t>
      </w:r>
      <w:r>
        <w:rPr>
          <w:rFonts w:hint="eastAsia" w:ascii="仿宋" w:hAnsi="仿宋" w:eastAsia="仿宋" w:cs="Times New Roman"/>
          <w:snapToGrid/>
          <w:color w:val="auto"/>
          <w:kern w:val="2"/>
          <w:sz w:val="32"/>
          <w:szCs w:val="32"/>
          <w:lang w:eastAsia="zh-CN"/>
        </w:rPr>
        <w:t>4</w:t>
      </w:r>
      <w:r>
        <w:rPr>
          <w:rFonts w:ascii="仿宋" w:hAnsi="仿宋" w:eastAsia="仿宋" w:cs="Times New Roman"/>
          <w:snapToGrid/>
          <w:color w:val="auto"/>
          <w:kern w:val="2"/>
          <w:sz w:val="32"/>
          <w:szCs w:val="32"/>
          <w:lang w:eastAsia="zh-CN"/>
        </w:rPr>
        <w:t xml:space="preserve"> 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4F5AE84B">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10.</w:t>
      </w:r>
      <w:r>
        <w:rPr>
          <w:rFonts w:hint="eastAsia" w:ascii="仿宋" w:hAnsi="仿宋" w:eastAsia="仿宋" w:cs="Times New Roman"/>
          <w:snapToGrid/>
          <w:color w:val="auto"/>
          <w:kern w:val="2"/>
          <w:sz w:val="32"/>
          <w:szCs w:val="32"/>
          <w:lang w:eastAsia="zh-CN"/>
        </w:rPr>
        <w:t>5</w:t>
      </w:r>
      <w:r>
        <w:rPr>
          <w:rFonts w:ascii="仿宋" w:hAnsi="仿宋" w:eastAsia="仿宋" w:cs="Times New Roman"/>
          <w:snapToGrid/>
          <w:color w:val="auto"/>
          <w:kern w:val="2"/>
          <w:sz w:val="32"/>
          <w:szCs w:val="32"/>
          <w:lang w:eastAsia="zh-CN"/>
        </w:rPr>
        <w:t xml:space="preserve"> 竣工结算经审计完成后5日内完成财务审核，完成财务审核后按合同约定支付至工程结算款的95%（未竣工验收未结算的除外）；剩余5%作为质保金，质保金在质量缺陷期满后无息退还。</w:t>
      </w:r>
    </w:p>
    <w:p w14:paraId="6D8E5C89">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一</w:t>
      </w:r>
      <w:r>
        <w:rPr>
          <w:rFonts w:ascii="仿宋" w:hAnsi="仿宋" w:eastAsia="仿宋" w:cs="Times New Roman"/>
          <w:b/>
          <w:bCs/>
          <w:snapToGrid/>
          <w:color w:val="auto"/>
          <w:kern w:val="2"/>
          <w:sz w:val="32"/>
          <w:szCs w:val="32"/>
          <w:lang w:eastAsia="zh-CN"/>
        </w:rPr>
        <w:t>条  保修</w:t>
      </w:r>
    </w:p>
    <w:p w14:paraId="0980E51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11.1 保修内容和范围：乙方完成的全部工程。不包括不可抗力及人为因素引起的质量问题。合同条款中标的物的质量保证期均自标的物通过最终验收备案之日起计算，工程保修按中华人民共和国建设部（2000）第80号文《房屋建筑工程质量保修办法》的有关规定执行。质保期届满后乙方长期优惠提供质保期外的服务。</w:t>
      </w:r>
    </w:p>
    <w:p w14:paraId="30E062DE">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11.2 </w:t>
      </w:r>
      <w:r>
        <w:rPr>
          <w:rFonts w:ascii="仿宋" w:hAnsi="仿宋" w:eastAsia="仿宋" w:cs="Times New Roman"/>
          <w:snapToGrid/>
          <w:kern w:val="2"/>
          <w:sz w:val="32"/>
          <w:szCs w:val="32"/>
          <w:lang w:eastAsia="zh-CN"/>
        </w:rPr>
        <w:t>本工程质量缺陷责任期为防水工程5年,其他工程2年(完工投产后的人为损坏不算质量缺陷)。其他工程质量责任期期满后 10日内甲方扣除其他工程质量项下的应扣款项后无息退还剩余3%的质保金。防水工程质量责任期期满后 10日内甲方扣除防水工程质量项下的应扣款项后无息退还剩余 2% 的质保金。</w:t>
      </w:r>
      <w:r>
        <w:rPr>
          <w:rFonts w:ascii="仿宋" w:hAnsi="仿宋" w:eastAsia="仿宋" w:cs="Times New Roman"/>
          <w:snapToGrid/>
          <w:color w:val="auto"/>
          <w:kern w:val="2"/>
          <w:sz w:val="32"/>
          <w:szCs w:val="32"/>
          <w:lang w:eastAsia="zh-CN"/>
        </w:rPr>
        <w:t>支付时应扣除质量缺陷责任期发生的应由乙方承担的相关费用。</w:t>
      </w:r>
    </w:p>
    <w:p w14:paraId="2B3DA023">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11.3 在保修期内任何时候, 乙方应在接到甲方维修通知后2个工作日内进行维修，认真负责完成保修任务，维修费用由乙方承担。否则甲方有权另行安排人员进行修理，所发生的一切费用（取费按当时的市场价上浮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76352F1C">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二</w:t>
      </w:r>
      <w:r>
        <w:rPr>
          <w:rFonts w:ascii="仿宋" w:hAnsi="仿宋" w:eastAsia="仿宋" w:cs="Times New Roman"/>
          <w:b/>
          <w:bCs/>
          <w:snapToGrid/>
          <w:color w:val="auto"/>
          <w:kern w:val="2"/>
          <w:sz w:val="32"/>
          <w:szCs w:val="32"/>
          <w:lang w:eastAsia="zh-CN"/>
        </w:rPr>
        <w:t>条  争议解决</w:t>
      </w:r>
    </w:p>
    <w:p w14:paraId="715D418D">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12.1 争议解决方式：（1）协商解决；（2）司法程序。</w:t>
      </w:r>
    </w:p>
    <w:p w14:paraId="21A8AC2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12.2 如协商解决无果时，可向工程所在地人民法院提起诉讼。</w:t>
      </w:r>
    </w:p>
    <w:p w14:paraId="5EE0CCE6">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三</w:t>
      </w:r>
      <w:r>
        <w:rPr>
          <w:rFonts w:ascii="仿宋" w:hAnsi="仿宋" w:eastAsia="仿宋" w:cs="Times New Roman"/>
          <w:b/>
          <w:bCs/>
          <w:snapToGrid/>
          <w:color w:val="auto"/>
          <w:kern w:val="2"/>
          <w:sz w:val="32"/>
          <w:szCs w:val="32"/>
          <w:lang w:eastAsia="zh-CN"/>
        </w:rPr>
        <w:t>条  违约责任</w:t>
      </w:r>
    </w:p>
    <w:p w14:paraId="71217C01">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13.1 任何一方违反本合同约定，使本合同条款、相关协议丧失履行条件，视为完全违约，违约方需赔偿另一方因此而造成的全部直接损失，且无过错方有权终止合同。</w:t>
      </w:r>
    </w:p>
    <w:p w14:paraId="2C9F1425">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13.2 如乙方因自身原因不能按期完成竣工验收，除承担前述工期违约的违约金外乙方还应每天按合同总金额的万分之五向甲方支付违约金。</w:t>
      </w:r>
    </w:p>
    <w:p w14:paraId="6DD4AAED">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bookmarkStart w:id="156" w:name="bookmark150"/>
      <w:bookmarkEnd w:id="156"/>
      <w:r>
        <w:rPr>
          <w:rFonts w:ascii="仿宋" w:hAnsi="仿宋" w:eastAsia="仿宋" w:cs="Times New Roman"/>
          <w:snapToGrid/>
          <w:color w:val="auto"/>
          <w:kern w:val="2"/>
          <w:sz w:val="32"/>
          <w:szCs w:val="32"/>
          <w:lang w:eastAsia="zh-CN"/>
        </w:rPr>
        <w:t>13.3 质量：若乙方的质量问题导致工程的分部分项验收达不到合格标准者，甲方有权对乙方按500-2000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由乙方承担，工期不予顺延。</w:t>
      </w:r>
    </w:p>
    <w:p w14:paraId="12AE3DFC">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13.4安全文明施工：乙方在施工过程中若出现违反国家相关法律法规及本合同中的安文明施工要求的，甲方有权视情况对乙方进行500-2000元的处罚，若因安全问题甲方被主管部门进行了处罚，罚金按1.2倍由乙方承担，在工程款中扣除。</w:t>
      </w:r>
    </w:p>
    <w:p w14:paraId="418CB80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13.5乙方应当按照深化设计和甲方要求进行施工，不得拒绝任何单项工程施工中途甩项，否则甲方有权按相应条款中的3倍价格另行发包处理，相关费用在乙方工程款中扣除。</w:t>
      </w:r>
    </w:p>
    <w:p w14:paraId="4E7BAE77">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13.6属于乙方工作范围内的有关收尾工作，经甲方现场施工人员口头或书面通知进行整改或完善有关工作后，乙方应在2个工作日内组织整改，否则甲方有权委派其他班组进行施工，其费用按实际发生的费用另加50%罚款在支付乙方工程款时扣除。</w:t>
      </w:r>
    </w:p>
    <w:p w14:paraId="79E0FC98">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13.7无论任何原因，若有乙方人员影响甲方工作和生产的正常秩序、造成不良社会影响的，甲方有权解除合同，乙方应在接到甲方解除合同通知后2 天内无条件退场。并赔偿甲方因此受到的损失。</w:t>
      </w:r>
    </w:p>
    <w:p w14:paraId="47474C9A">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13.8现场全体员工必须遵章守纪，无违章指挥、违章作业行为。各级管理人员佩带证明其身份的证卡。甲方或监理检查，若承包人未按要求佩戴安全帽、安全帽则按100元/人/次承担违约金；</w:t>
      </w:r>
    </w:p>
    <w:p w14:paraId="155293AE">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13.9对未报审先使用的材料，将处以10000元/次，如遇特殊不能及时完善手续的情况，可以通过电话、短信、微信等通讯方式告知经同意后实施，但应及时完善报审手续。</w:t>
      </w:r>
    </w:p>
    <w:p w14:paraId="1BF8249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13.10甲指乙供或甲供的设备及材料订货进场前，乙方需向甲方提出书面申请，经甲方工程师检查符合甲方和设计文件及有关规范所规定的规格、型号、技术标准和质量标准后方可定货，否则，造成的损失由乙方负责。各种材料进场应及时报验，并由检测单位及时出具检测结果。需要报送样品的材料或工程设备，样品的种类、名称、规格、数量要求应符合甲方和设计要求。甲供材料乙方务必控制用量损耗，损耗超出定额用量部分由乙方承担责任和费用。</w:t>
      </w:r>
    </w:p>
    <w:p w14:paraId="19A1BA43">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13.10本合同签订后，乙方未按甲方规定的时间进场组织施工，视为乙方违约，缴纳的履约保证金甲方不予退还，给甲方造成损失，履约保证金不足以弥补甲方损失的，甲方有权向乙方追偿，因追偿产生的一切费用由乙方承担。</w:t>
      </w:r>
    </w:p>
    <w:p w14:paraId="6C734F4A">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13.11若出现质量问题，乙方在24小时内务必响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1EB5B781">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四</w:t>
      </w:r>
      <w:r>
        <w:rPr>
          <w:rFonts w:ascii="仿宋" w:hAnsi="仿宋" w:eastAsia="仿宋" w:cs="Times New Roman"/>
          <w:b/>
          <w:bCs/>
          <w:snapToGrid/>
          <w:color w:val="auto"/>
          <w:kern w:val="2"/>
          <w:sz w:val="32"/>
          <w:szCs w:val="32"/>
          <w:lang w:eastAsia="zh-CN"/>
        </w:rPr>
        <w:t>条  合同的生效与终止</w:t>
      </w:r>
    </w:p>
    <w:p w14:paraId="3C4D9FD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14.1  本合同甲乙双方签字盖章后生效，质量缺陷期届满结清质保金后，合同失效。</w:t>
      </w:r>
    </w:p>
    <w:p w14:paraId="08F8C123">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14.2  本合同如有未尽事宜，双方可根据具体情况议定补充条款，作为本合同补充协议，与本合同具有同等效力。</w:t>
      </w:r>
    </w:p>
    <w:p w14:paraId="4A1615A2">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五</w:t>
      </w:r>
      <w:r>
        <w:rPr>
          <w:rFonts w:ascii="仿宋" w:hAnsi="仿宋" w:eastAsia="仿宋" w:cs="Times New Roman"/>
          <w:b/>
          <w:bCs/>
          <w:snapToGrid/>
          <w:color w:val="auto"/>
          <w:kern w:val="2"/>
          <w:sz w:val="32"/>
          <w:szCs w:val="32"/>
          <w:lang w:eastAsia="zh-CN"/>
        </w:rPr>
        <w:t>条  其他</w:t>
      </w:r>
    </w:p>
    <w:p w14:paraId="4C48D15A">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15.1  施工现场不得出现聚众闹事、斗殴现象，每出现一次罚款2,000.00元，并承担所有责任范围内的民事责任和经济责任。</w:t>
      </w:r>
    </w:p>
    <w:p w14:paraId="209439F2">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15.2  凡施工现场出现盗窃事件，其损失均由乙方负责。</w:t>
      </w:r>
    </w:p>
    <w:p w14:paraId="717FC0FE">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b/>
          <w:bCs/>
          <w:snapToGrid/>
          <w:color w:val="auto"/>
          <w:kern w:val="2"/>
          <w:sz w:val="32"/>
          <w:szCs w:val="32"/>
          <w:lang w:eastAsia="zh-CN"/>
        </w:rPr>
        <w:t>第十</w:t>
      </w:r>
      <w:r>
        <w:rPr>
          <w:rFonts w:ascii="仿宋" w:hAnsi="仿宋" w:eastAsia="仿宋" w:cs="Times New Roman"/>
          <w:b/>
          <w:bCs/>
          <w:snapToGrid/>
          <w:color w:val="auto"/>
          <w:kern w:val="2"/>
          <w:sz w:val="32"/>
          <w:szCs w:val="32"/>
          <w:lang w:eastAsia="zh-Hans"/>
        </w:rPr>
        <w:t>六</w:t>
      </w:r>
      <w:r>
        <w:rPr>
          <w:rFonts w:ascii="仿宋" w:hAnsi="仿宋" w:eastAsia="仿宋" w:cs="Times New Roman"/>
          <w:b/>
          <w:bCs/>
          <w:snapToGrid/>
          <w:color w:val="auto"/>
          <w:kern w:val="2"/>
          <w:sz w:val="32"/>
          <w:szCs w:val="32"/>
          <w:lang w:eastAsia="zh-CN"/>
        </w:rPr>
        <w:t>条</w:t>
      </w:r>
      <w:r>
        <w:rPr>
          <w:rFonts w:ascii="仿宋" w:hAnsi="仿宋" w:eastAsia="仿宋" w:cs="Times New Roman"/>
          <w:snapToGrid/>
          <w:color w:val="auto"/>
          <w:kern w:val="2"/>
          <w:sz w:val="32"/>
          <w:szCs w:val="32"/>
          <w:lang w:eastAsia="zh-CN"/>
        </w:rPr>
        <w:t xml:space="preserve">  本合同一式肆份，甲乙双方各执贰份；合同附件与合同具有同等效力，附件内容与本合同冲突的，以本合同约定内容为准。</w:t>
      </w:r>
    </w:p>
    <w:p w14:paraId="0B555184">
      <w:pPr>
        <w:widowControl w:val="0"/>
        <w:kinsoku/>
        <w:autoSpaceDE/>
        <w:autoSpaceDN/>
        <w:adjustRightInd/>
        <w:snapToGrid/>
        <w:spacing w:line="500" w:lineRule="exact"/>
        <w:ind w:firstLine="640" w:firstLineChars="200"/>
        <w:jc w:val="both"/>
        <w:textAlignment w:val="auto"/>
        <w:rPr>
          <w:rFonts w:ascii="仿宋" w:hAnsi="仿宋" w:eastAsia="仿宋" w:cs="Times New Roman"/>
          <w:snapToGrid/>
          <w:color w:val="auto"/>
          <w:kern w:val="2"/>
          <w:sz w:val="32"/>
          <w:szCs w:val="32"/>
          <w:lang w:eastAsia="zh-CN"/>
        </w:rPr>
      </w:pPr>
    </w:p>
    <w:p w14:paraId="4A0E6A99">
      <w:pPr>
        <w:widowControl w:val="0"/>
        <w:kinsoku/>
        <w:autoSpaceDE/>
        <w:autoSpaceDN/>
        <w:adjustRightInd/>
        <w:snapToGrid/>
        <w:spacing w:line="500" w:lineRule="exact"/>
        <w:ind w:firstLine="640" w:firstLineChars="200"/>
        <w:jc w:val="both"/>
        <w:textAlignment w:val="auto"/>
        <w:rPr>
          <w:rFonts w:ascii="仿宋" w:hAnsi="仿宋" w:eastAsia="仿宋" w:cs="Times New Roman"/>
          <w:snapToGrid/>
          <w:color w:val="auto"/>
          <w:kern w:val="2"/>
          <w:sz w:val="32"/>
          <w:szCs w:val="32"/>
          <w:lang w:eastAsia="zh-CN"/>
        </w:rPr>
      </w:pPr>
    </w:p>
    <w:p w14:paraId="1FB6CEA2">
      <w:pPr>
        <w:widowControl w:val="0"/>
        <w:kinsoku/>
        <w:autoSpaceDE/>
        <w:autoSpaceDN/>
        <w:adjustRightInd/>
        <w:snapToGrid/>
        <w:spacing w:line="500" w:lineRule="exact"/>
        <w:ind w:firstLine="640" w:firstLineChars="200"/>
        <w:jc w:val="both"/>
        <w:textAlignment w:val="auto"/>
        <w:rPr>
          <w:rFonts w:ascii="仿宋" w:hAnsi="仿宋" w:eastAsia="仿宋" w:cs="Times New Roman"/>
          <w:snapToGrid/>
          <w:color w:val="auto"/>
          <w:kern w:val="2"/>
          <w:sz w:val="32"/>
          <w:szCs w:val="32"/>
          <w:lang w:eastAsia="zh-CN"/>
        </w:rPr>
      </w:pPr>
    </w:p>
    <w:p w14:paraId="4D1BC66F">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合同附件1：重庆理工职业学院国际楼</w:t>
      </w:r>
      <w:r>
        <w:rPr>
          <w:rFonts w:hint="eastAsia" w:ascii="仿宋" w:hAnsi="仿宋" w:eastAsia="仿宋" w:cs="Times New Roman"/>
          <w:snapToGrid/>
          <w:color w:val="auto"/>
          <w:kern w:val="2"/>
          <w:sz w:val="32"/>
          <w:szCs w:val="32"/>
          <w:lang w:eastAsia="zh-CN"/>
        </w:rPr>
        <w:t>4</w:t>
      </w:r>
      <w:r>
        <w:rPr>
          <w:rFonts w:ascii="仿宋" w:hAnsi="仿宋" w:eastAsia="仿宋" w:cs="Times New Roman"/>
          <w:snapToGrid/>
          <w:color w:val="auto"/>
          <w:kern w:val="2"/>
          <w:sz w:val="32"/>
          <w:szCs w:val="32"/>
          <w:lang w:eastAsia="zh-CN"/>
        </w:rPr>
        <w:t>-1</w:t>
      </w:r>
      <w:r>
        <w:rPr>
          <w:rFonts w:hint="eastAsia" w:ascii="仿宋" w:hAnsi="仿宋" w:eastAsia="仿宋" w:cs="Times New Roman"/>
          <w:snapToGrid/>
          <w:color w:val="auto"/>
          <w:kern w:val="2"/>
          <w:sz w:val="32"/>
          <w:szCs w:val="32"/>
          <w:lang w:eastAsia="zh-CN"/>
        </w:rPr>
        <w:t>3</w:t>
      </w:r>
      <w:r>
        <w:rPr>
          <w:rFonts w:ascii="仿宋" w:hAnsi="仿宋" w:eastAsia="仿宋" w:cs="Times New Roman"/>
          <w:snapToGrid/>
          <w:color w:val="auto"/>
          <w:kern w:val="2"/>
          <w:sz w:val="32"/>
          <w:szCs w:val="32"/>
          <w:lang w:eastAsia="zh-CN"/>
        </w:rPr>
        <w:t>楼学生公寓</w:t>
      </w:r>
      <w:r>
        <w:rPr>
          <w:rFonts w:hint="eastAsia" w:ascii="仿宋" w:hAnsi="仿宋" w:eastAsia="仿宋" w:cs="Times New Roman"/>
          <w:snapToGrid/>
          <w:color w:val="auto"/>
          <w:kern w:val="2"/>
          <w:sz w:val="32"/>
          <w:szCs w:val="32"/>
          <w:lang w:eastAsia="zh-CN"/>
        </w:rPr>
        <w:t>及3楼厕所</w:t>
      </w:r>
      <w:r>
        <w:rPr>
          <w:rFonts w:ascii="仿宋" w:hAnsi="仿宋" w:eastAsia="仿宋" w:cs="Times New Roman"/>
          <w:snapToGrid/>
          <w:color w:val="auto"/>
          <w:kern w:val="2"/>
          <w:sz w:val="32"/>
          <w:szCs w:val="32"/>
          <w:lang w:eastAsia="zh-CN"/>
        </w:rPr>
        <w:t>装修改造工程工程量计价清单。</w:t>
      </w:r>
    </w:p>
    <w:p w14:paraId="3D987B66">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合同附件2：工程质量保修书。 </w:t>
      </w:r>
    </w:p>
    <w:p w14:paraId="1DC2C130">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合同附件3：安全管理协议。 </w:t>
      </w:r>
    </w:p>
    <w:p w14:paraId="537A0CB4">
      <w:pPr>
        <w:widowControl w:val="0"/>
        <w:kinsoku/>
        <w:autoSpaceDE/>
        <w:autoSpaceDN/>
        <w:adjustRightInd/>
        <w:snapToGrid/>
        <w:spacing w:line="500" w:lineRule="exact"/>
        <w:ind w:firstLine="640"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snapToGrid/>
          <w:color w:val="auto"/>
          <w:kern w:val="2"/>
          <w:sz w:val="32"/>
          <w:szCs w:val="32"/>
          <w:lang w:eastAsia="zh-CN"/>
        </w:rPr>
        <w:t xml:space="preserve">合同附件4：保障农民工工资支付协议。 </w:t>
      </w:r>
    </w:p>
    <w:p w14:paraId="0C462D0F">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p>
    <w:p w14:paraId="7B3B5FDA">
      <w:pPr>
        <w:widowControl w:val="0"/>
        <w:kinsoku/>
        <w:autoSpaceDE/>
        <w:autoSpaceDN/>
        <w:adjustRightInd/>
        <w:snapToGrid/>
        <w:spacing w:line="500" w:lineRule="exact"/>
        <w:jc w:val="both"/>
        <w:textAlignment w:val="auto"/>
        <w:rPr>
          <w:rFonts w:hint="eastAsia" w:ascii="仿宋" w:hAnsi="仿宋" w:eastAsia="仿宋" w:cs="Times New Roman"/>
          <w:b/>
          <w:bCs/>
          <w:snapToGrid/>
          <w:color w:val="auto"/>
          <w:kern w:val="2"/>
          <w:sz w:val="32"/>
          <w:szCs w:val="32"/>
          <w:lang w:eastAsia="zh-CN"/>
        </w:rPr>
      </w:pPr>
    </w:p>
    <w:p w14:paraId="2FD9325F">
      <w:pPr>
        <w:widowControl w:val="0"/>
        <w:kinsoku/>
        <w:autoSpaceDE/>
        <w:autoSpaceDN/>
        <w:adjustRightInd/>
        <w:snapToGrid/>
        <w:spacing w:after="120"/>
        <w:jc w:val="both"/>
        <w:textAlignment w:val="auto"/>
        <w:rPr>
          <w:rFonts w:hint="eastAsia" w:ascii="仿宋" w:hAnsi="仿宋" w:eastAsia="仿宋" w:cs="Times New Roman"/>
          <w:b/>
          <w:bCs/>
          <w:snapToGrid/>
          <w:color w:val="auto"/>
          <w:kern w:val="2"/>
          <w:sz w:val="32"/>
          <w:szCs w:val="32"/>
          <w:lang w:eastAsia="zh-CN"/>
        </w:rPr>
      </w:pPr>
    </w:p>
    <w:p w14:paraId="3A6E29DF">
      <w:pPr>
        <w:widowControl w:val="0"/>
        <w:kinsoku/>
        <w:autoSpaceDE/>
        <w:autoSpaceDN/>
        <w:adjustRightInd/>
        <w:snapToGrid/>
        <w:spacing w:after="120"/>
        <w:jc w:val="both"/>
        <w:textAlignment w:val="auto"/>
        <w:rPr>
          <w:rFonts w:hint="eastAsia" w:ascii="仿宋" w:hAnsi="仿宋" w:eastAsia="仿宋" w:cs="Times New Roman"/>
          <w:b/>
          <w:bCs/>
          <w:snapToGrid/>
          <w:color w:val="auto"/>
          <w:kern w:val="2"/>
          <w:sz w:val="32"/>
          <w:szCs w:val="32"/>
          <w:lang w:eastAsia="zh-CN"/>
        </w:rPr>
      </w:pPr>
    </w:p>
    <w:p w14:paraId="2F49352B">
      <w:pPr>
        <w:widowControl w:val="0"/>
        <w:kinsoku/>
        <w:autoSpaceDE/>
        <w:autoSpaceDN/>
        <w:adjustRightInd/>
        <w:snapToGrid/>
        <w:spacing w:after="120"/>
        <w:jc w:val="both"/>
        <w:textAlignment w:val="auto"/>
        <w:rPr>
          <w:rFonts w:hint="eastAsia" w:ascii="仿宋" w:hAnsi="仿宋" w:eastAsia="仿宋" w:cs="Times New Roman"/>
          <w:b/>
          <w:bCs/>
          <w:snapToGrid/>
          <w:color w:val="auto"/>
          <w:kern w:val="2"/>
          <w:sz w:val="32"/>
          <w:szCs w:val="32"/>
          <w:lang w:eastAsia="zh-CN"/>
        </w:rPr>
      </w:pPr>
    </w:p>
    <w:p w14:paraId="26896E57">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b/>
          <w:bCs/>
          <w:snapToGrid/>
          <w:color w:val="auto"/>
          <w:kern w:val="2"/>
          <w:sz w:val="32"/>
          <w:szCs w:val="32"/>
          <w:lang w:eastAsia="zh-CN"/>
        </w:rPr>
        <w:t>发包人（甲方）：重庆理工职业学院（盖章）</w:t>
      </w:r>
    </w:p>
    <w:p w14:paraId="015AD088">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法定代表人/委托代理人（签字）：</w:t>
      </w:r>
    </w:p>
    <w:p w14:paraId="13FEAB7B">
      <w:pPr>
        <w:keepNext/>
        <w:keepLines/>
        <w:widowControl w:val="0"/>
        <w:kinsoku/>
        <w:autoSpaceDE/>
        <w:autoSpaceDN/>
        <w:adjustRightInd/>
        <w:snapToGrid/>
        <w:spacing w:line="360" w:lineRule="auto"/>
        <w:jc w:val="both"/>
        <w:textAlignment w:val="auto"/>
        <w:outlineLvl w:val="2"/>
        <w:rPr>
          <w:rFonts w:hint="eastAsia" w:ascii="仿宋" w:hAnsi="仿宋" w:eastAsia="仿宋" w:cs="Times New Roman"/>
          <w:bCs/>
          <w:snapToGrid/>
          <w:color w:val="auto"/>
          <w:kern w:val="2"/>
          <w:sz w:val="32"/>
          <w:szCs w:val="32"/>
          <w:lang w:val="sq-AL" w:eastAsia="zh-CN"/>
        </w:rPr>
      </w:pPr>
    </w:p>
    <w:p w14:paraId="2C053865">
      <w:pPr>
        <w:widowControl w:val="0"/>
        <w:kinsoku/>
        <w:autoSpaceDE/>
        <w:autoSpaceDN/>
        <w:adjustRightInd/>
        <w:snapToGrid/>
        <w:jc w:val="both"/>
        <w:textAlignment w:val="auto"/>
        <w:rPr>
          <w:rFonts w:hint="eastAsia" w:ascii="仿宋" w:hAnsi="仿宋" w:eastAsia="仿宋" w:cs="Times New Roman"/>
          <w:snapToGrid/>
          <w:color w:val="auto"/>
          <w:kern w:val="2"/>
          <w:sz w:val="32"/>
          <w:szCs w:val="32"/>
          <w:lang w:eastAsia="zh-CN"/>
        </w:rPr>
      </w:pPr>
    </w:p>
    <w:p w14:paraId="5F514E33">
      <w:pPr>
        <w:widowControl w:val="0"/>
        <w:kinsoku/>
        <w:autoSpaceDE/>
        <w:autoSpaceDN/>
        <w:adjustRightInd/>
        <w:snapToGrid/>
        <w:spacing w:after="120"/>
        <w:jc w:val="both"/>
        <w:textAlignment w:val="auto"/>
        <w:rPr>
          <w:rFonts w:hint="eastAsia" w:ascii="仿宋" w:hAnsi="仿宋" w:eastAsia="仿宋" w:cs="Times New Roman"/>
          <w:snapToGrid/>
          <w:color w:val="auto"/>
          <w:kern w:val="2"/>
          <w:sz w:val="32"/>
          <w:szCs w:val="32"/>
          <w:lang w:eastAsia="zh-CN"/>
        </w:rPr>
      </w:pPr>
    </w:p>
    <w:p w14:paraId="4D31D201">
      <w:pPr>
        <w:widowControl w:val="0"/>
        <w:kinsoku/>
        <w:autoSpaceDE/>
        <w:autoSpaceDN/>
        <w:adjustRightInd/>
        <w:snapToGrid/>
        <w:spacing w:after="120"/>
        <w:jc w:val="both"/>
        <w:textAlignment w:val="auto"/>
        <w:rPr>
          <w:rFonts w:hint="eastAsia" w:ascii="仿宋" w:hAnsi="仿宋" w:eastAsia="仿宋" w:cs="Times New Roman"/>
          <w:snapToGrid/>
          <w:color w:val="auto"/>
          <w:kern w:val="2"/>
          <w:sz w:val="32"/>
          <w:szCs w:val="32"/>
          <w:lang w:eastAsia="zh-CN"/>
        </w:rPr>
      </w:pPr>
    </w:p>
    <w:p w14:paraId="0B525FDC">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承包人（乙方）：                （盖章）</w:t>
      </w:r>
    </w:p>
    <w:p w14:paraId="7234392F">
      <w:pPr>
        <w:widowControl w:val="0"/>
        <w:kinsoku/>
        <w:autoSpaceDE/>
        <w:autoSpaceDN/>
        <w:adjustRightInd/>
        <w:snapToGrid/>
        <w:spacing w:line="500" w:lineRule="exact"/>
        <w:ind w:firstLine="643" w:firstLineChars="200"/>
        <w:jc w:val="both"/>
        <w:textAlignment w:val="auto"/>
        <w:rPr>
          <w:rFonts w:hint="eastAsia" w:ascii="仿宋" w:hAnsi="仿宋" w:eastAsia="仿宋" w:cs="Times New Roman"/>
          <w:b/>
          <w:bCs/>
          <w:snapToGrid/>
          <w:color w:val="auto"/>
          <w:kern w:val="2"/>
          <w:sz w:val="32"/>
          <w:szCs w:val="32"/>
          <w:lang w:eastAsia="zh-CN"/>
        </w:rPr>
      </w:pPr>
      <w:r>
        <w:rPr>
          <w:rFonts w:ascii="仿宋" w:hAnsi="仿宋" w:eastAsia="仿宋" w:cs="Times New Roman"/>
          <w:b/>
          <w:bCs/>
          <w:snapToGrid/>
          <w:color w:val="auto"/>
          <w:kern w:val="2"/>
          <w:sz w:val="32"/>
          <w:szCs w:val="32"/>
          <w:lang w:eastAsia="zh-CN"/>
        </w:rPr>
        <w:t>法定代表人/委托代理人（签字）：</w:t>
      </w:r>
    </w:p>
    <w:p w14:paraId="5882BE1A">
      <w:pPr>
        <w:widowControl w:val="0"/>
        <w:kinsoku/>
        <w:autoSpaceDE/>
        <w:autoSpaceDN/>
        <w:adjustRightInd/>
        <w:snapToGrid/>
        <w:spacing w:after="120"/>
        <w:jc w:val="both"/>
        <w:textAlignment w:val="auto"/>
        <w:rPr>
          <w:rFonts w:hint="eastAsia" w:ascii="仿宋" w:hAnsi="仿宋" w:eastAsia="仿宋" w:cs="Times New Roman"/>
          <w:snapToGrid/>
          <w:color w:val="auto"/>
          <w:kern w:val="2"/>
          <w:sz w:val="32"/>
          <w:szCs w:val="32"/>
          <w:lang w:eastAsia="zh-CN"/>
        </w:rPr>
      </w:pPr>
    </w:p>
    <w:p w14:paraId="2AC3D95E">
      <w:pPr>
        <w:widowControl w:val="0"/>
        <w:kinsoku/>
        <w:autoSpaceDE/>
        <w:autoSpaceDN/>
        <w:adjustRightInd/>
        <w:snapToGrid/>
        <w:spacing w:line="500" w:lineRule="exact"/>
        <w:jc w:val="right"/>
        <w:textAlignment w:val="auto"/>
        <w:rPr>
          <w:rFonts w:hint="eastAsia" w:ascii="仿宋" w:hAnsi="仿宋" w:eastAsia="仿宋" w:cs="Times New Roman"/>
          <w:snapToGrid/>
          <w:color w:val="auto"/>
          <w:kern w:val="2"/>
          <w:sz w:val="32"/>
          <w:szCs w:val="32"/>
          <w:lang w:eastAsia="zh-CN"/>
        </w:rPr>
      </w:pPr>
      <w:r>
        <w:rPr>
          <w:rFonts w:ascii="仿宋" w:hAnsi="仿宋" w:eastAsia="仿宋" w:cs="Times New Roman"/>
          <w:b/>
          <w:bCs/>
          <w:snapToGrid/>
          <w:color w:val="auto"/>
          <w:kern w:val="2"/>
          <w:sz w:val="32"/>
          <w:szCs w:val="32"/>
          <w:lang w:eastAsia="zh-CN"/>
        </w:rPr>
        <w:t>合同签订日期：202</w:t>
      </w:r>
      <w:r>
        <w:rPr>
          <w:rFonts w:hint="eastAsia" w:ascii="仿宋" w:hAnsi="仿宋" w:eastAsia="仿宋" w:cs="Times New Roman"/>
          <w:b/>
          <w:bCs/>
          <w:snapToGrid/>
          <w:color w:val="auto"/>
          <w:kern w:val="2"/>
          <w:sz w:val="32"/>
          <w:szCs w:val="32"/>
          <w:lang w:eastAsia="zh-CN"/>
        </w:rPr>
        <w:t>5</w:t>
      </w:r>
      <w:r>
        <w:rPr>
          <w:rFonts w:ascii="仿宋" w:hAnsi="仿宋" w:eastAsia="仿宋" w:cs="Times New Roman"/>
          <w:b/>
          <w:bCs/>
          <w:snapToGrid/>
          <w:color w:val="auto"/>
          <w:kern w:val="2"/>
          <w:sz w:val="32"/>
          <w:szCs w:val="32"/>
          <w:lang w:eastAsia="zh-CN"/>
        </w:rPr>
        <w:t>年  月  日</w:t>
      </w:r>
    </w:p>
    <w:p w14:paraId="3676B088">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p>
    <w:p w14:paraId="025F32E4">
      <w:pPr>
        <w:widowControl w:val="0"/>
        <w:kinsoku/>
        <w:autoSpaceDE/>
        <w:autoSpaceDN/>
        <w:adjustRightInd/>
        <w:snapToGrid/>
        <w:spacing w:line="500" w:lineRule="exact"/>
        <w:jc w:val="both"/>
        <w:textAlignment w:val="auto"/>
        <w:rPr>
          <w:rFonts w:hint="eastAsia" w:ascii="仿宋" w:hAnsi="仿宋" w:eastAsia="仿宋" w:cs="Times New Roman"/>
          <w:snapToGrid/>
          <w:color w:val="auto"/>
          <w:kern w:val="2"/>
          <w:sz w:val="32"/>
          <w:szCs w:val="32"/>
          <w:lang w:eastAsia="zh-CN"/>
        </w:rPr>
      </w:pPr>
    </w:p>
    <w:p w14:paraId="75A02AAA">
      <w:pPr>
        <w:spacing w:line="360" w:lineRule="auto"/>
        <w:jc w:val="both"/>
        <w:rPr>
          <w:rFonts w:hint="eastAsia" w:ascii="仿宋" w:hAnsi="仿宋" w:eastAsia="仿宋" w:cs="仿宋"/>
          <w:color w:val="auto"/>
          <w:sz w:val="32"/>
          <w:szCs w:val="32"/>
          <w:lang w:eastAsia="zh-CN"/>
        </w:rPr>
      </w:pPr>
    </w:p>
    <w:p w14:paraId="1C91A6B8">
      <w:pPr>
        <w:spacing w:line="360" w:lineRule="auto"/>
        <w:jc w:val="both"/>
        <w:rPr>
          <w:rFonts w:hint="eastAsia" w:ascii="仿宋" w:hAnsi="仿宋" w:eastAsia="仿宋" w:cs="仿宋"/>
          <w:color w:val="auto"/>
          <w:sz w:val="32"/>
          <w:szCs w:val="32"/>
          <w:lang w:eastAsia="zh-CN"/>
        </w:rPr>
      </w:pPr>
    </w:p>
    <w:p w14:paraId="1AB5B2BE">
      <w:pPr>
        <w:spacing w:line="360" w:lineRule="auto"/>
        <w:jc w:val="both"/>
        <w:rPr>
          <w:rFonts w:hint="eastAsia" w:ascii="仿宋" w:hAnsi="仿宋" w:eastAsia="仿宋" w:cs="仿宋"/>
          <w:color w:val="auto"/>
          <w:sz w:val="24"/>
          <w:szCs w:val="24"/>
          <w:lang w:eastAsia="zh-CN"/>
        </w:rPr>
      </w:pPr>
    </w:p>
    <w:p w14:paraId="30262396">
      <w:pPr>
        <w:rPr>
          <w:rFonts w:hint="eastAsia" w:ascii="仿宋" w:hAnsi="仿宋" w:eastAsia="仿宋" w:cs="仿宋"/>
          <w:color w:val="auto"/>
          <w:sz w:val="24"/>
          <w:szCs w:val="24"/>
          <w:lang w:eastAsia="zh-CN"/>
        </w:rPr>
      </w:pPr>
      <w:r>
        <w:rPr>
          <w:rFonts w:ascii="仿宋" w:hAnsi="仿宋" w:eastAsia="仿宋" w:cs="Times New Roman"/>
          <w:snapToGrid/>
          <w:color w:val="auto"/>
          <w:kern w:val="2"/>
          <w:sz w:val="30"/>
          <w:szCs w:val="30"/>
          <w:lang w:eastAsia="zh-CN"/>
        </w:rPr>
        <w:br w:type="page"/>
      </w:r>
    </w:p>
    <w:p w14:paraId="36B10AE2">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合同附件2：</w:t>
      </w:r>
    </w:p>
    <w:p w14:paraId="40FB591E">
      <w:pPr>
        <w:spacing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工程质量保修书</w:t>
      </w:r>
    </w:p>
    <w:p w14:paraId="0596A5A6">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发包人（甲方）：重庆理工职业学院</w:t>
      </w:r>
    </w:p>
    <w:p w14:paraId="7F5D8B4C">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承包人（乙方）：</w:t>
      </w:r>
      <w:r>
        <w:rPr>
          <w:rFonts w:hint="eastAsia" w:ascii="仿宋" w:hAnsi="仿宋" w:eastAsia="仿宋" w:cs="仿宋"/>
          <w:b/>
          <w:bCs/>
          <w:color w:val="auto"/>
          <w:sz w:val="24"/>
          <w:szCs w:val="24"/>
          <w:u w:val="single"/>
          <w:lang w:eastAsia="zh-CN"/>
        </w:rPr>
        <w:t xml:space="preserve">                </w:t>
      </w:r>
    </w:p>
    <w:p w14:paraId="42B5D31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保证国际楼学生公寓3-16层装修改造工程在合理使用期内正常使用，根据《中华人民共和国建筑法》、国务院发布的《建设工程质量管理条例》、《房屋建筑工程质量保修办法》等有关法律法规及国家标准，经甲乙双方协商一致，签订本工程质量保修书。</w:t>
      </w:r>
    </w:p>
    <w:p w14:paraId="546F7277">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一、工程质量保修范围和内容</w:t>
      </w:r>
    </w:p>
    <w:p w14:paraId="5287350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承包人在质量保修期内，按照有关法律、法规、规章的管理规定和双方约定，承担本工程质量保修责任。</w:t>
      </w:r>
    </w:p>
    <w:p w14:paraId="2809C8F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质量保修范围包括装修工程，以及双方约定的其他项目。具体保修的内容，双方约定如下：</w:t>
      </w:r>
    </w:p>
    <w:p w14:paraId="1A6FCF3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保修范围为设计施工图所示的全部内容（含投标书及附件部分，设计变更部分）。</w:t>
      </w:r>
    </w:p>
    <w:p w14:paraId="4E6DA495">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二、质量保修期</w:t>
      </w:r>
    </w:p>
    <w:p w14:paraId="5F4FD10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双方根据《建设工程质量管理条例》及有关规定，约定本工程的质量保修期如下：</w:t>
      </w:r>
    </w:p>
    <w:p w14:paraId="1412DEC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1.质量保修期从工程验收合格交付使用之日起计算；</w:t>
      </w:r>
    </w:p>
    <w:p w14:paraId="32F9149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2.基础装修工程为设计文件规定的该工程合理使用年限；</w:t>
      </w:r>
    </w:p>
    <w:p w14:paraId="1898BE3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3.有防水要求的卫生间、房间等其他工程的防渗漏为5年；</w:t>
      </w:r>
    </w:p>
    <w:p w14:paraId="36C58B5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4.电气及管线、给排水管道和装修工程为2年；</w:t>
      </w:r>
    </w:p>
    <w:p w14:paraId="537F2FC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5.定型设备、电气设备、静止设备安装保修期为2年；</w:t>
      </w:r>
    </w:p>
    <w:p w14:paraId="5159588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6.电气、桥架、支托架等安装保修期为2年；</w:t>
      </w:r>
    </w:p>
    <w:p w14:paraId="6BA5644A">
      <w:pPr>
        <w:spacing w:line="360" w:lineRule="auto"/>
        <w:ind w:firstLine="480"/>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lang w:eastAsia="zh-Hans"/>
        </w:rPr>
        <w:t>除上述明确约定的质保责任期</w:t>
      </w:r>
      <w:r>
        <w:rPr>
          <w:rFonts w:hint="eastAsia" w:ascii="仿宋" w:hAnsi="仿宋" w:eastAsia="仿宋" w:cs="仿宋"/>
          <w:color w:val="auto"/>
          <w:sz w:val="24"/>
          <w:szCs w:val="24"/>
          <w:lang w:eastAsia="zh-CN"/>
        </w:rPr>
        <w:t>以</w:t>
      </w:r>
      <w:r>
        <w:rPr>
          <w:rFonts w:hint="eastAsia" w:ascii="仿宋" w:hAnsi="仿宋" w:eastAsia="仿宋" w:cs="仿宋"/>
          <w:color w:val="auto"/>
          <w:sz w:val="24"/>
          <w:szCs w:val="24"/>
          <w:lang w:eastAsia="zh-Hans"/>
        </w:rPr>
        <w:t>外的其他工程项目质保责任为2年。</w:t>
      </w:r>
    </w:p>
    <w:p w14:paraId="43056EC2">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三、保修责任</w:t>
      </w:r>
    </w:p>
    <w:p w14:paraId="4276D65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1.属于保修范围、内容的工程，承包人应当在接到保修通知之日起24小时内给予答复，48小时内派人保修。承包人不在约定期限内派人保修的，发包人有权委托他人修理，费用由承包人支付。</w:t>
      </w:r>
    </w:p>
    <w:p w14:paraId="640923C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2.发生紧急抢修事故，承包人在接到事故通知后，应当立即到达事故现场抢修或委托他人修理。</w:t>
      </w:r>
    </w:p>
    <w:p w14:paraId="4DAEDCF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3.对于涉及结构安全的质量问题，应当按照《房屋建筑工程质量保修办法》的规定，立即向发包人报告，采取安全防范措施；由原设计单位或者具有相应资质等级的设计单位提出保修方案，承包人实施保修。</w:t>
      </w:r>
    </w:p>
    <w:p w14:paraId="485FCEB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4.在国家规定的工程合理使用期限内，承包日内应确保其质量。因承包人原因致使工程在合理使用期限内造成人身和财产损害，承包人应承担损害赔偿责任。</w:t>
      </w:r>
    </w:p>
    <w:p w14:paraId="1E8B0EC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5.质保期满后，由业主及发包人组织验收。</w:t>
      </w:r>
    </w:p>
    <w:p w14:paraId="57C324F6">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四、质量保修金</w:t>
      </w:r>
    </w:p>
    <w:p w14:paraId="746DD97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本工程约定的工程质量保修金为审定结算金额的5%。</w:t>
      </w:r>
    </w:p>
    <w:p w14:paraId="353BA95B">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五、质量保修金返还</w:t>
      </w:r>
    </w:p>
    <w:p w14:paraId="4CDCD1B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在保修期满后1个月，如无施工质量问题，无息返还承包人。</w:t>
      </w:r>
    </w:p>
    <w:p w14:paraId="4E662229">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六、其他</w:t>
      </w:r>
    </w:p>
    <w:p w14:paraId="3F39601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1.本工程质量保修书，作为本项目《工程承包合同》的组成部分，与《工程承包合同》具有同等法律效力。</w:t>
      </w:r>
    </w:p>
    <w:p w14:paraId="1727A94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2.本工程质量保修书的有效期为保修期满后，质量保修金返还后失效。</w:t>
      </w:r>
    </w:p>
    <w:p w14:paraId="67968DC4">
      <w:pPr>
        <w:spacing w:line="360" w:lineRule="auto"/>
        <w:ind w:firstLine="480"/>
        <w:jc w:val="both"/>
        <w:rPr>
          <w:rFonts w:hint="eastAsia" w:ascii="仿宋" w:hAnsi="仿宋" w:eastAsia="仿宋" w:cs="仿宋"/>
          <w:color w:val="auto"/>
          <w:sz w:val="24"/>
          <w:szCs w:val="24"/>
          <w:lang w:eastAsia="zh-CN"/>
        </w:rPr>
      </w:pPr>
      <w:bookmarkStart w:id="157" w:name="_Toc448406299"/>
      <w:bookmarkStart w:id="158" w:name="_Toc336680145"/>
      <w:bookmarkStart w:id="159" w:name="_Toc435689499"/>
      <w:bookmarkStart w:id="160" w:name="_Toc239510288"/>
      <w:bookmarkStart w:id="161" w:name="_Toc247431422"/>
      <w:bookmarkStart w:id="162" w:name="_Toc435690184"/>
    </w:p>
    <w:p w14:paraId="15C98B25">
      <w:pPr>
        <w:spacing w:line="360" w:lineRule="auto"/>
        <w:ind w:firstLine="480"/>
        <w:jc w:val="both"/>
        <w:rPr>
          <w:rFonts w:hint="eastAsia" w:ascii="仿宋" w:hAnsi="仿宋" w:eastAsia="仿宋" w:cs="仿宋"/>
          <w:color w:val="auto"/>
          <w:sz w:val="24"/>
          <w:szCs w:val="24"/>
          <w:lang w:eastAsia="zh-CN"/>
        </w:rPr>
      </w:pPr>
    </w:p>
    <w:p w14:paraId="6FEBD65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发包人（甲方）：重庆理工职业学院（盖章）</w:t>
      </w:r>
    </w:p>
    <w:p w14:paraId="458AC7E2">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782301BD">
      <w:pPr>
        <w:spacing w:line="360" w:lineRule="auto"/>
        <w:ind w:firstLine="480"/>
        <w:jc w:val="both"/>
        <w:rPr>
          <w:rFonts w:hint="eastAsia" w:ascii="仿宋" w:hAnsi="仿宋" w:eastAsia="仿宋" w:cs="仿宋"/>
          <w:color w:val="auto"/>
          <w:sz w:val="24"/>
          <w:szCs w:val="24"/>
          <w:u w:val="single"/>
          <w:lang w:eastAsia="zh-CN"/>
        </w:rPr>
      </w:pPr>
    </w:p>
    <w:p w14:paraId="7206AB4A">
      <w:pPr>
        <w:spacing w:line="360" w:lineRule="auto"/>
        <w:ind w:firstLine="480"/>
        <w:jc w:val="both"/>
        <w:rPr>
          <w:rFonts w:hint="eastAsia" w:ascii="仿宋" w:hAnsi="仿宋" w:eastAsia="仿宋" w:cs="仿宋"/>
          <w:color w:val="auto"/>
          <w:sz w:val="24"/>
          <w:szCs w:val="24"/>
          <w:u w:val="single"/>
          <w:lang w:eastAsia="zh-CN"/>
        </w:rPr>
      </w:pPr>
    </w:p>
    <w:p w14:paraId="04E62B0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承包人（乙方）：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（盖章）</w:t>
      </w:r>
    </w:p>
    <w:p w14:paraId="0D0C4EE2">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2C3AEA34">
      <w:pPr>
        <w:spacing w:line="360" w:lineRule="auto"/>
        <w:ind w:firstLine="480"/>
        <w:jc w:val="both"/>
        <w:rPr>
          <w:rFonts w:hint="eastAsia" w:ascii="仿宋" w:hAnsi="仿宋" w:eastAsia="仿宋" w:cs="仿宋"/>
          <w:color w:val="auto"/>
          <w:sz w:val="24"/>
          <w:szCs w:val="24"/>
          <w:u w:val="single"/>
          <w:lang w:eastAsia="zh-CN"/>
        </w:rPr>
      </w:pPr>
    </w:p>
    <w:p w14:paraId="6B3785E9">
      <w:pPr>
        <w:spacing w:line="360" w:lineRule="auto"/>
        <w:ind w:firstLine="480"/>
        <w:jc w:val="both"/>
        <w:rPr>
          <w:rFonts w:hint="eastAsia" w:ascii="仿宋" w:hAnsi="仿宋" w:eastAsia="仿宋" w:cs="仿宋"/>
          <w:color w:val="auto"/>
          <w:sz w:val="24"/>
          <w:szCs w:val="24"/>
          <w:u w:val="single"/>
          <w:lang w:eastAsia="zh-CN"/>
        </w:rPr>
      </w:pPr>
    </w:p>
    <w:p w14:paraId="4C191E40">
      <w:pPr>
        <w:spacing w:line="360" w:lineRule="auto"/>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签订日期：2025年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7AAA5896">
      <w:pPr>
        <w:spacing w:line="360" w:lineRule="auto"/>
        <w:jc w:val="both"/>
        <w:rPr>
          <w:rFonts w:hint="eastAsia" w:ascii="仿宋" w:hAnsi="仿宋" w:eastAsia="仿宋" w:cs="仿宋"/>
          <w:color w:val="auto"/>
          <w:sz w:val="24"/>
          <w:szCs w:val="24"/>
          <w:lang w:eastAsia="zh-CN"/>
        </w:rPr>
      </w:pPr>
    </w:p>
    <w:p w14:paraId="74155C70">
      <w:pPr>
        <w:spacing w:line="360" w:lineRule="auto"/>
        <w:jc w:val="both"/>
        <w:rPr>
          <w:rFonts w:hint="eastAsia" w:ascii="仿宋" w:hAnsi="仿宋" w:eastAsia="仿宋" w:cs="仿宋"/>
          <w:color w:val="auto"/>
          <w:sz w:val="24"/>
          <w:szCs w:val="24"/>
          <w:lang w:eastAsia="zh-CN"/>
        </w:rPr>
      </w:pPr>
    </w:p>
    <w:p w14:paraId="72882EE5">
      <w:pPr>
        <w:spacing w:line="360" w:lineRule="auto"/>
        <w:jc w:val="both"/>
        <w:rPr>
          <w:rFonts w:hint="eastAsia" w:ascii="仿宋" w:hAnsi="仿宋" w:eastAsia="仿宋" w:cs="仿宋"/>
          <w:color w:val="auto"/>
          <w:sz w:val="24"/>
          <w:szCs w:val="24"/>
          <w:lang w:eastAsia="zh-CN"/>
        </w:rPr>
      </w:pPr>
    </w:p>
    <w:p w14:paraId="3F35D2C3">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6D7BEAE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合同附件3：</w:t>
      </w:r>
    </w:p>
    <w:p w14:paraId="45F03095">
      <w:pPr>
        <w:spacing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安全管理协议</w:t>
      </w:r>
      <w:bookmarkEnd w:id="157"/>
      <w:bookmarkEnd w:id="158"/>
      <w:bookmarkEnd w:id="159"/>
      <w:bookmarkEnd w:id="160"/>
      <w:bookmarkEnd w:id="161"/>
      <w:bookmarkEnd w:id="162"/>
    </w:p>
    <w:p w14:paraId="2A849DAB">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发包人（甲方）：重庆理工职业学院</w:t>
      </w:r>
    </w:p>
    <w:p w14:paraId="3CA18549">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承包人（乙方）：</w:t>
      </w:r>
      <w:r>
        <w:rPr>
          <w:rFonts w:hint="eastAsia" w:ascii="仿宋" w:hAnsi="仿宋" w:eastAsia="仿宋" w:cs="仿宋"/>
          <w:b/>
          <w:bCs/>
          <w:color w:val="auto"/>
          <w:sz w:val="24"/>
          <w:szCs w:val="24"/>
          <w:u w:val="single"/>
          <w:lang w:eastAsia="zh-CN"/>
        </w:rPr>
        <w:t xml:space="preserve">                </w:t>
      </w:r>
    </w:p>
    <w:p w14:paraId="1B83050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了确保实现安全生产目标，进一步明确双方的安全管理责任，加强安全生产管理工作的协调、管理力度，按照国家安全生产相关的法律、法规和安全方面的强制性国家标准或行业标准，甲乙双方同意签订本协议作为正式合同安全管理方面的补充约定，并承诺本协议具有与合同相同的法律效力。具体条款如下：</w:t>
      </w:r>
      <w:bookmarkStart w:id="163" w:name="_Toc239510289"/>
      <w:bookmarkStart w:id="164" w:name="_Toc247431423"/>
      <w:bookmarkStart w:id="165" w:name="_Toc247418263"/>
      <w:bookmarkStart w:id="166" w:name="_Toc532375700"/>
    </w:p>
    <w:p w14:paraId="0C64D0A3">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一、协议有效期限</w:t>
      </w:r>
      <w:bookmarkEnd w:id="163"/>
      <w:bookmarkEnd w:id="164"/>
      <w:bookmarkEnd w:id="165"/>
      <w:bookmarkEnd w:id="166"/>
    </w:p>
    <w:p w14:paraId="12A4B0B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本协议中所涉及的安全管理责任自合同签订之日起开始生效，至合同工程全部完工验收且经发包人与承包人签订移交协议之日终止。</w:t>
      </w:r>
      <w:bookmarkStart w:id="167" w:name="_Toc247431424"/>
      <w:bookmarkStart w:id="168" w:name="_Toc247418264"/>
      <w:bookmarkStart w:id="169" w:name="_Toc239510290"/>
      <w:bookmarkStart w:id="170" w:name="_Toc532375701"/>
    </w:p>
    <w:p w14:paraId="531B47F9">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二、责任目标</w:t>
      </w:r>
      <w:bookmarkEnd w:id="167"/>
      <w:bookmarkEnd w:id="168"/>
      <w:bookmarkEnd w:id="169"/>
      <w:bookmarkEnd w:id="170"/>
    </w:p>
    <w:p w14:paraId="58A4F4D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（一）承包人承诺承担和履行合同和发包人所规定的安全责任，且满足要求。</w:t>
      </w:r>
    </w:p>
    <w:p w14:paraId="4B51F70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（二）承包人的安全控制目标是确保本工程在实施过程中：</w:t>
      </w:r>
    </w:p>
    <w:p w14:paraId="227FC63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1.不发生人身重伤事故；</w:t>
      </w:r>
    </w:p>
    <w:p w14:paraId="1AE384D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2.不发生火灾事故；</w:t>
      </w:r>
    </w:p>
    <w:p w14:paraId="256D198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3.不发生负有同等及以上事故责任的造成人身重伤的一般交通事故；</w:t>
      </w:r>
    </w:p>
    <w:p w14:paraId="65794AE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4.不发生集体食物中毒事件（同时5人及以上的食物中毒）；</w:t>
      </w:r>
    </w:p>
    <w:p w14:paraId="793C3BB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5.不发生流行性传染病（无甲型传染病、新冠疫情、其他常见传染病未形成多人同时患病）；</w:t>
      </w:r>
    </w:p>
    <w:p w14:paraId="16CCB31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6.不发生重大环境污染事件（生活、工业垃圾及其他污染物造成环境污染和大面积水土流失）；</w:t>
      </w:r>
    </w:p>
    <w:p w14:paraId="45FFC69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7.不发生对施工区附近生产、生活造成重大影响的事件（如造成重大设备损坏、重大财产损失、人员伤害等）；</w:t>
      </w:r>
    </w:p>
    <w:p w14:paraId="00722FA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8.不发生治安保卫事件（构成刑事拘留及以上的事件、盗窃直接损失超过1万元的事件）。</w:t>
      </w:r>
      <w:bookmarkStart w:id="171" w:name="_Toc247418265"/>
      <w:bookmarkStart w:id="172" w:name="_Toc247431425"/>
      <w:bookmarkStart w:id="173" w:name="_Toc239510291"/>
    </w:p>
    <w:p w14:paraId="379BC8C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（三）承包人承诺在施工中控制以下安全事故的发生：</w:t>
      </w:r>
      <w:bookmarkEnd w:id="171"/>
      <w:bookmarkEnd w:id="172"/>
      <w:bookmarkEnd w:id="173"/>
    </w:p>
    <w:p w14:paraId="6E7163D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1.人员轻伤事故；</w:t>
      </w:r>
    </w:p>
    <w:p w14:paraId="0F0FF83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2.负有同等及以上事故责任的人身轻伤交通事故；</w:t>
      </w:r>
    </w:p>
    <w:p w14:paraId="72B2FA6C">
      <w:pPr>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其他安全未遂事故和异常事件。</w:t>
      </w:r>
      <w:bookmarkStart w:id="174" w:name="_Toc239510292"/>
      <w:bookmarkStart w:id="175" w:name="_Toc247431426"/>
      <w:bookmarkStart w:id="176" w:name="_Toc247418266"/>
      <w:bookmarkStart w:id="177" w:name="_Toc532375702"/>
    </w:p>
    <w:p w14:paraId="573DFF43">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三、安全责任</w:t>
      </w:r>
      <w:bookmarkEnd w:id="174"/>
      <w:bookmarkEnd w:id="175"/>
      <w:bookmarkEnd w:id="176"/>
      <w:bookmarkEnd w:id="177"/>
    </w:p>
    <w:p w14:paraId="00769B4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1.承包人负有安全生产的管理责任和直接责任；</w:t>
      </w:r>
    </w:p>
    <w:p w14:paraId="612F1EB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2.承包人的法人或签署合同的公司总经理或受委托的代理人对合同安全负有全面的领导责任；</w:t>
      </w:r>
    </w:p>
    <w:p w14:paraId="67BA80B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3.承包人项目经理对施工现场的安全工作负有全面的直接领导责任；</w:t>
      </w:r>
    </w:p>
    <w:p w14:paraId="78E7D14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4.承包人保证执行“谁施工、谁负责”的施工安全原则；</w:t>
      </w:r>
    </w:p>
    <w:p w14:paraId="7055705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5.承包人保证服从发包人对安全工作的统一协调和管理；</w:t>
      </w:r>
    </w:p>
    <w:p w14:paraId="18C436C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6.承包人保证对本工程项目安全生产条件及其管理资源自行投入，保证安全资金的专款专用；</w:t>
      </w:r>
    </w:p>
    <w:p w14:paraId="3A76B4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7.承包人保证建立本工程项目的安全管理体系及安全保证体系（注：项目安全管理大纲/手册、管理性的程序文件等）；</w:t>
      </w:r>
    </w:p>
    <w:p w14:paraId="76ED14E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8.承包人保证现场的安全管理专职人员必须持有建设主管部门安全生产培训考核合格证书；</w:t>
      </w:r>
    </w:p>
    <w:p w14:paraId="004790C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9.承包人保证为现场所有工作人员（含分包商员工及劳务人员）配备符合国家标准的有承包人和/或其下属分包商标志的个人基本劳动保护用品；</w:t>
      </w:r>
    </w:p>
    <w:p w14:paraId="5488DD7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10.承包人保证按照国家法律规定为现场所有工作人员（含分包商员工及劳务人员）购买意外伤害保险；</w:t>
      </w:r>
    </w:p>
    <w:p w14:paraId="21A4A4D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11.承包人保证施工生活营地（包括自建的和租用的营地）满足消防、安全用电、卫生防疫、防暴雨、防雷击等方面的安全要求；</w:t>
      </w:r>
    </w:p>
    <w:p w14:paraId="44541A4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12.承包人保证对带入现场的设备、工具、材料按照国家法规和标准进行检测、试验，并持有法定部门出具的检验证书；</w:t>
      </w:r>
    </w:p>
    <w:p w14:paraId="6980F7A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13.承包人保证制订施工现场的文明施工措施，保护环境、树木和植被，保持施工现场的良好秩序和整洁的作业环境；</w:t>
      </w:r>
    </w:p>
    <w:p w14:paraId="13A97DB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14.承包人负责在施工过程中与当地政府、周边群众及其他承包商保持良好的沟通和交流。承包人遇到与周边群众发生纠纷时，应负责协调工作，确保工程能够顺利进行。</w:t>
      </w:r>
      <w:bookmarkStart w:id="178" w:name="_Toc247418267"/>
      <w:bookmarkStart w:id="179" w:name="_Toc532375703"/>
      <w:bookmarkStart w:id="180" w:name="_Toc247431427"/>
      <w:bookmarkStart w:id="181" w:name="_Toc239510293"/>
    </w:p>
    <w:p w14:paraId="68478F5E">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四、对接及协调</w:t>
      </w:r>
      <w:bookmarkEnd w:id="178"/>
      <w:bookmarkEnd w:id="179"/>
      <w:bookmarkEnd w:id="180"/>
      <w:bookmarkEnd w:id="181"/>
    </w:p>
    <w:p w14:paraId="1C53FF7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1.发包人可委托监理公司对该工程实施监理，监理公司在安全管理方面代表发包人行使监督检查职能，承包人必须给予配合和支持；</w:t>
      </w:r>
    </w:p>
    <w:p w14:paraId="5D7C247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2.承包人人员、车辆的出入，带入现场的设备、机具、材料，在现场使用的或直接管理的办公、生活、生产性设施的安全管理须满足发包人现场管理的基本要求；</w:t>
      </w:r>
    </w:p>
    <w:p w14:paraId="7E8EBCF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3.承包人应指定专职安全管理人员与发包人或其委托的监理公司对接，参与安全协调和管理。安全协调和管理的内容包括职业健康、工业安全、消防安全、卫生防疫、交通安全、环境保护、治安保卫等各方面；</w:t>
      </w:r>
    </w:p>
    <w:p w14:paraId="44F45F9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的专职安全管理人员应具备协调安全工作的能力和授权。发包人或其委托的监理公司有权对专职安全管理人员的能力和权力做出评价，对于不能胜任的专职安全管理人员，发包人或其委托的监理公司有权要求承包人换人；</w:t>
      </w:r>
    </w:p>
    <w:p w14:paraId="6E041A7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5.承包人指定的专职安全管理人员应与发包人或其委托的监理公司建立联系，在业务上接受发包人或其委托的监理公司的协调和指导；</w:t>
      </w:r>
    </w:p>
    <w:p w14:paraId="2E7835A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6.开工后承包人的专职安全管理人员应按照发包人或其委托的监理公司的规定，定期报送安全月度快报、季报、年报和各种专项事故报告等；</w:t>
      </w:r>
    </w:p>
    <w:p w14:paraId="54AFFDC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7.在工程实体未全部正式移交发包人施工管理部门之前，承包人依旧对施工范围内的安全管理负责。</w:t>
      </w:r>
      <w:bookmarkStart w:id="182" w:name="_Toc532375704"/>
      <w:bookmarkStart w:id="183" w:name="_Toc247431428"/>
      <w:bookmarkStart w:id="184" w:name="_Toc247418268"/>
      <w:bookmarkStart w:id="185" w:name="_Toc239510294"/>
    </w:p>
    <w:p w14:paraId="7EA84DAD">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五、安全资质审查</w:t>
      </w:r>
      <w:bookmarkEnd w:id="182"/>
      <w:bookmarkEnd w:id="183"/>
      <w:bookmarkEnd w:id="184"/>
      <w:bookmarkEnd w:id="185"/>
    </w:p>
    <w:p w14:paraId="19B8EC7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承包人在项目开工前5个工作日内向发包人或其委托的监理公司提供以下安全资质供审查和存档：</w:t>
      </w:r>
    </w:p>
    <w:p w14:paraId="6655875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1.企业安全生产许可证书复印件；</w:t>
      </w:r>
    </w:p>
    <w:p w14:paraId="7A36388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2.企业近3年的施工简历及安全施工业绩证明文件；</w:t>
      </w:r>
    </w:p>
    <w:p w14:paraId="0D243D3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3.企业主要安全管理人员（包括项目经理、专职安全管理人员）经建设主管部门安全生产知识考核合格证书；</w:t>
      </w:r>
    </w:p>
    <w:p w14:paraId="424C045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4.特种作业人员资格证书；</w:t>
      </w:r>
    </w:p>
    <w:p w14:paraId="794EAC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5.项目安全管理机构及其人员配备（承包人必须配有专职的安全员）；</w:t>
      </w:r>
    </w:p>
    <w:p w14:paraId="5A32499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6.适用于项目的安全管理体系及保证体系文件（安全管理大纲及管理程序文件）。</w:t>
      </w:r>
      <w:bookmarkStart w:id="186" w:name="_Toc247431429"/>
      <w:bookmarkStart w:id="187" w:name="_Toc532375705"/>
      <w:bookmarkStart w:id="188" w:name="_Toc247418269"/>
      <w:bookmarkStart w:id="189" w:name="_Toc239510295"/>
    </w:p>
    <w:p w14:paraId="563E374A">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六、人员基本素质</w:t>
      </w:r>
      <w:bookmarkEnd w:id="186"/>
      <w:bookmarkEnd w:id="187"/>
      <w:bookmarkEnd w:id="188"/>
      <w:bookmarkEnd w:id="189"/>
    </w:p>
    <w:p w14:paraId="2BDC01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承包人提供的人员必须满足下列要求：</w:t>
      </w:r>
    </w:p>
    <w:p w14:paraId="322DA48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身体健康，无影响工作的精神疾病、无传染病和其他重大疾病；承包人需对其雇用的施工人员签发健康声明并保证其身体健康。其中体检证明材料（县级以上医院）和健康声明作为人员办理入场证件的必备材料。</w:t>
      </w:r>
    </w:p>
    <w:p w14:paraId="1C0CC08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2.无刑事案件相关。</w:t>
      </w:r>
    </w:p>
    <w:p w14:paraId="3042E8D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3.无吸毒、酗酒、赌博、嫖娼等恶习及违法行为。</w:t>
      </w:r>
      <w:bookmarkStart w:id="190" w:name="_Toc239510296"/>
      <w:bookmarkStart w:id="191" w:name="_Toc532375706"/>
      <w:bookmarkStart w:id="192" w:name="_Toc247431430"/>
      <w:bookmarkStart w:id="193" w:name="_Toc247418270"/>
    </w:p>
    <w:p w14:paraId="11EA5160">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七、劳动保护</w:t>
      </w:r>
      <w:bookmarkEnd w:id="190"/>
      <w:bookmarkEnd w:id="191"/>
      <w:bookmarkEnd w:id="192"/>
      <w:bookmarkEnd w:id="193"/>
    </w:p>
    <w:p w14:paraId="6540933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1.承包人负责为本单位任何用工形式的员工提供个人劳动保护用品（包括工作服、安全帽、安全鞋等）。</w:t>
      </w:r>
    </w:p>
    <w:p w14:paraId="795D49F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2.承包人负责向特殊工种的员工提供特殊劳动保护，否则不得从事特殊工种作业。</w:t>
      </w:r>
    </w:p>
    <w:p w14:paraId="0AEAD15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3.发包人或其委托的监理公司有权检查承包人的个人劳动保护用品是否符合国家的相应标准。</w:t>
      </w:r>
    </w:p>
    <w:p w14:paraId="6D6E876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4.承包人在特殊风险场所作业而需要特殊防护用品或安全仪表时，必须在上述防护用品全部到位后才能开工。</w:t>
      </w:r>
    </w:p>
    <w:p w14:paraId="444DFB4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5.承包人应配备临时安全围栏、警示带、警告标志、防火布等集体防护用品。</w:t>
      </w:r>
      <w:bookmarkStart w:id="194" w:name="_Toc239510297"/>
      <w:bookmarkStart w:id="195" w:name="_Toc247418271"/>
      <w:bookmarkStart w:id="196" w:name="_Toc247431431"/>
      <w:bookmarkStart w:id="197" w:name="_Toc532375707"/>
    </w:p>
    <w:p w14:paraId="7EAD7961">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八、施工机具与材料</w:t>
      </w:r>
      <w:bookmarkEnd w:id="194"/>
      <w:bookmarkEnd w:id="195"/>
      <w:bookmarkEnd w:id="196"/>
      <w:bookmarkEnd w:id="197"/>
    </w:p>
    <w:p w14:paraId="60166CF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1.承包人对带入现场的施工机械和工器具的安全负责。</w:t>
      </w:r>
    </w:p>
    <w:p w14:paraId="575FC50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2.对于承包人带入现场的特殊工器具，如起重设备、索具、机动车辆、压缩气瓶等，承包人必须按国家法规和标准进行检测、试验，并持有法定部门出具的检验证书。</w:t>
      </w:r>
    </w:p>
    <w:p w14:paraId="10159FD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3.对于不属于法定检测的工器具，承包人也必须建立相应的管理、检测制度，这些工器具包括登高工具、脚手架材料、电动工具、安全防护设备及用具等。</w:t>
      </w:r>
      <w:bookmarkStart w:id="198" w:name="_Toc247431432"/>
      <w:bookmarkStart w:id="199" w:name="_Toc532375708"/>
      <w:bookmarkStart w:id="200" w:name="_Toc239510298"/>
      <w:bookmarkStart w:id="201" w:name="_Toc247418272"/>
    </w:p>
    <w:p w14:paraId="28A0D058">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九、开工前安全条件检查</w:t>
      </w:r>
      <w:bookmarkEnd w:id="198"/>
      <w:bookmarkEnd w:id="199"/>
      <w:bookmarkEnd w:id="200"/>
      <w:bookmarkEnd w:id="201"/>
    </w:p>
    <w:p w14:paraId="3C659B6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发包人或其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106C92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C5FD31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3.发包人或其委托的监理公司检查发现的缺陷，承包人应在规定期限内完成整改。对于重大缺陷，发包人或其委托的监理公司有权要求承包人推迟开工，由此对工期产生的影响或经济损失，由承包人承担。</w:t>
      </w:r>
      <w:bookmarkStart w:id="202" w:name="_Toc532375709"/>
      <w:bookmarkStart w:id="203" w:name="_Toc247418273"/>
      <w:bookmarkStart w:id="204" w:name="_Toc239510299"/>
      <w:bookmarkStart w:id="205" w:name="_Toc247431433"/>
    </w:p>
    <w:p w14:paraId="233288E7">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十、安全监督</w:t>
      </w:r>
      <w:bookmarkEnd w:id="202"/>
      <w:bookmarkEnd w:id="203"/>
      <w:bookmarkEnd w:id="204"/>
      <w:bookmarkEnd w:id="205"/>
    </w:p>
    <w:p w14:paraId="64BAD47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1.承包人应配备有满足项目安全管理需要的专职安全管理人员。</w:t>
      </w:r>
    </w:p>
    <w:p w14:paraId="6E74DAA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2.承包人的专职安全管理人员必须持建设主管部门颁发的安全生产知识考核合格证书。</w:t>
      </w:r>
    </w:p>
    <w:p w14:paraId="13F600B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3.承包人的专职安全管理人员在业务上接受发包人委托的监理公司和发包人安全管理部门的协调和指导。</w:t>
      </w:r>
    </w:p>
    <w:p w14:paraId="5F85DBE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4.承包人应建立班前安全交底制度；施工期间坚持开展安全检查和日常安全监督并形成相应的记录。</w:t>
      </w:r>
    </w:p>
    <w:p w14:paraId="2D52C11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5.承包人应在每个作业区任命兼职安全员，赋予兼职安全员相应的授权和义务，并对兼职安全员进行定期考核。</w:t>
      </w:r>
    </w:p>
    <w:p w14:paraId="5AC6F08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6.承包人应接受和配合发包人专业部门及其委托的监理公司的监督与安全评价。</w:t>
      </w:r>
    </w:p>
    <w:p w14:paraId="1D05CB4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7.发包人和其委托的监理公司有权对承包人履行安全管理协议的情况进行监督，并有权对违章行为实行停工和处罚，处罚情况将通知承包人。涉及经济处罚时将直接通知合同管理部门从合同结算价款中扣除。</w:t>
      </w:r>
      <w:bookmarkStart w:id="206" w:name="_Toc247431434"/>
      <w:bookmarkStart w:id="207" w:name="_Toc247418274"/>
      <w:bookmarkStart w:id="208" w:name="_Toc532375710"/>
      <w:bookmarkStart w:id="209" w:name="_Toc239510300"/>
    </w:p>
    <w:p w14:paraId="025415AC">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十一、安全培训与授权</w:t>
      </w:r>
      <w:bookmarkEnd w:id="206"/>
      <w:bookmarkEnd w:id="207"/>
      <w:bookmarkEnd w:id="208"/>
      <w:bookmarkEnd w:id="209"/>
    </w:p>
    <w:p w14:paraId="6ED027C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1.承包人所有特殊工种人员必须持证上岗，发包人或其委托的监理公司有权进行抽查。承包人要建立特殊工种定期培训和检查计划，这些工种包括但不限于：机动车驾驶员、焊工、起重工、电工等。</w:t>
      </w:r>
    </w:p>
    <w:p w14:paraId="4292AAE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2.承包人应在特殊工种之外的其他工种中，筛选出高风险工种，并对其开展针对性的专题安全培训。</w:t>
      </w:r>
    </w:p>
    <w:p w14:paraId="0FB4285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3.承包人应组织“入场培训”和考核。发包人或其委托的监理公司有权监督培训、考核情况或组织抽查考核。</w:t>
      </w:r>
    </w:p>
    <w:p w14:paraId="0D7BFD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4.承包人应建立安全培训和考核机制，编制培训教材和培训滚动计划。承包人应组织安全考试/考核，建立培训考核记录，发包人或其委托的监理公司有权查看这些记录。</w:t>
      </w:r>
      <w:bookmarkStart w:id="210" w:name="_Toc247431435"/>
      <w:bookmarkStart w:id="211" w:name="_Toc247418275"/>
      <w:bookmarkStart w:id="212" w:name="_Toc239510301"/>
      <w:bookmarkStart w:id="213" w:name="_Toc532375711"/>
    </w:p>
    <w:p w14:paraId="68B42410">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十二、职业健康与卫生防疫</w:t>
      </w:r>
      <w:bookmarkEnd w:id="210"/>
      <w:bookmarkEnd w:id="211"/>
      <w:bookmarkEnd w:id="212"/>
      <w:bookmarkEnd w:id="213"/>
    </w:p>
    <w:p w14:paraId="61D871F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1.承包人应有特殊健康检查制度，预防有禁忌症患者从事有关职业，如恐高症患者不得从事高空作业，患有心血管疾病的人员不得从事繁重的体力劳动，特殊工种人员的体检应符合国家的规定。</w:t>
      </w:r>
    </w:p>
    <w:p w14:paraId="479A2AF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2.承包人应保证卫生防疫基本设施的投入，以满足医疗、急救的要求，建立外部医疗支持渠道。</w:t>
      </w:r>
    </w:p>
    <w:p w14:paraId="006F0BB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bookmarkStart w:id="214" w:name="_Toc247431436"/>
      <w:bookmarkStart w:id="215" w:name="_Toc532375712"/>
      <w:bookmarkStart w:id="216" w:name="_Toc247418276"/>
      <w:bookmarkStart w:id="217" w:name="_Toc239510302"/>
    </w:p>
    <w:p w14:paraId="3F2137FC">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十三、文明施工与环保要求</w:t>
      </w:r>
      <w:bookmarkEnd w:id="214"/>
      <w:bookmarkEnd w:id="215"/>
      <w:bookmarkEnd w:id="216"/>
      <w:bookmarkEnd w:id="217"/>
    </w:p>
    <w:p w14:paraId="786D837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1.承包人需制订施工现场的文明施工措施，保持良好的施工现场秩序。施工现场的物料堆放要摆放整齐，安全标志和宣传标志要清楚醒目，废料、废物要分类收集，安全通道要畅通。</w:t>
      </w:r>
    </w:p>
    <w:p w14:paraId="1C59EF2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2.承包人作业时应避免建筑材料抛洒、飞扬、流淌；应尽可能降低噪音、震动。</w:t>
      </w:r>
    </w:p>
    <w:p w14:paraId="4139AE5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3.承包人应根据实际需要，在施工现场布置临时卫生设施（洗手间、卫生间等），施工作业不破坏环境卫生，不污染现场环境。</w:t>
      </w:r>
    </w:p>
    <w:p w14:paraId="5CE16E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4.承包人在施工中应充分重视对环境的保护，保护绿色植被，保护古树。施工如需伤害古树，必须报告发包人或其委托的监理公司，在未得到指令前，禁止擅自伤害古树。</w:t>
      </w:r>
    </w:p>
    <w:p w14:paraId="4F4EC39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BB2893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6.承包人在施工中应禁止向环境，排放工业污水、生活污水、废油或其他有害物质。</w:t>
      </w:r>
    </w:p>
    <w:p w14:paraId="2B46EB8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bookmarkStart w:id="218" w:name="_Toc532375713"/>
      <w:bookmarkStart w:id="219" w:name="_Toc247431437"/>
      <w:bookmarkStart w:id="220" w:name="_Toc239510303"/>
      <w:bookmarkStart w:id="221" w:name="_Toc247418277"/>
    </w:p>
    <w:p w14:paraId="5AC59C9D">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十四、工程风险管理与事故预防</w:t>
      </w:r>
      <w:bookmarkEnd w:id="218"/>
      <w:bookmarkEnd w:id="219"/>
      <w:bookmarkEnd w:id="220"/>
      <w:bookmarkEnd w:id="221"/>
      <w:bookmarkStart w:id="222" w:name="_Toc247431438"/>
      <w:bookmarkStart w:id="223" w:name="_Toc239510304"/>
      <w:bookmarkStart w:id="224" w:name="_Toc247418278"/>
    </w:p>
    <w:p w14:paraId="6A160A5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（一）基本要求</w:t>
      </w:r>
      <w:bookmarkEnd w:id="222"/>
      <w:bookmarkEnd w:id="223"/>
      <w:bookmarkEnd w:id="224"/>
      <w:bookmarkStart w:id="225" w:name="_Toc532375714"/>
    </w:p>
    <w:p w14:paraId="6A97037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1.承包人应对施工过程进行全面、深入的危险源识别和风险分析。在施工安全组织设计中提供危险源及重要危险源清单、作业风险分析报告，该报告应包括（但不限于）如下信息：</w:t>
      </w:r>
      <w:bookmarkEnd w:id="225"/>
    </w:p>
    <w:p w14:paraId="3E6BF87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（1）高风险作业和工种清单：作业名称、类别和数量、主要事故风险。</w:t>
      </w:r>
    </w:p>
    <w:p w14:paraId="4F27D51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（2）施工能源和机械的种类、数量和主要事故风险。</w:t>
      </w:r>
    </w:p>
    <w:p w14:paraId="4626570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（3）施工作业条件的类型和主要事故风险。</w:t>
      </w:r>
    </w:p>
    <w:p w14:paraId="47E57D8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（4）主要工艺过程（或施工活动）的类别及其相关的事故风险。</w:t>
      </w:r>
    </w:p>
    <w:p w14:paraId="4A0EC4D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（5）主要火灾危险（可燃物、点火源）。</w:t>
      </w:r>
    </w:p>
    <w:p w14:paraId="33A3646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（6）主要自然灾害（洪水、大风、雷暴、暴雨、地质灾害等）。</w:t>
      </w:r>
    </w:p>
    <w:p w14:paraId="1E4F582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（7）主要环境保护事件（有害垃圾、机械的跑冒滴漏、原材料流失、水土流失等）。</w:t>
      </w:r>
    </w:p>
    <w:p w14:paraId="64F675E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（8）其他。</w:t>
      </w:r>
    </w:p>
    <w:p w14:paraId="5E15608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2.承包人应针对识别出的危险源制定有针对性的事故预防措施并确保在施工中得到有效落实。</w:t>
      </w:r>
    </w:p>
    <w:p w14:paraId="752402F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3.承包人应建立日常施工活动的动态作业风险分析和安全交底制度。该制度应明确规定风险分析的方法、责任和交底的内容、时间及记录。</w:t>
      </w:r>
      <w:bookmarkStart w:id="226" w:name="_Toc239510305"/>
      <w:bookmarkStart w:id="227" w:name="_Toc247431439"/>
      <w:bookmarkStart w:id="228" w:name="_Toc247418279"/>
    </w:p>
    <w:p w14:paraId="0191955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（二）现场作业基本安全条件</w:t>
      </w:r>
      <w:bookmarkEnd w:id="226"/>
      <w:bookmarkEnd w:id="227"/>
      <w:bookmarkEnd w:id="228"/>
    </w:p>
    <w:p w14:paraId="491C0B7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bookmarkStart w:id="229" w:name="_Toc247431440"/>
      <w:bookmarkStart w:id="230" w:name="_Toc247418280"/>
      <w:bookmarkStart w:id="231" w:name="_Toc239510306"/>
      <w:bookmarkStart w:id="232" w:name="_Toc532375715"/>
    </w:p>
    <w:p w14:paraId="53EFD527">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十五、事故报告与应急救援</w:t>
      </w:r>
      <w:bookmarkEnd w:id="229"/>
      <w:bookmarkEnd w:id="230"/>
      <w:bookmarkEnd w:id="231"/>
      <w:bookmarkEnd w:id="232"/>
    </w:p>
    <w:p w14:paraId="32D11C1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1.承包人应制定对于未遂事故及以上级别的安全事件和事故，定期报送安全月度快报、季报、年报和各种专项事故报告等。</w:t>
      </w:r>
    </w:p>
    <w:p w14:paraId="1B2ED5C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2.承包人应建立安全事故统计记录、未遂事故统计记录、违章统计记录，并根据统计情况进行分析，并就分析结果制定相应的预防措施。</w:t>
      </w:r>
    </w:p>
    <w:p w14:paraId="6ECB003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3.承包人应建立事故应急救援机制，明确事故处置的基本原则，即现场发生事故时，首先抢救生命，向救援组织报警，并采取措施限制事故扩大。</w:t>
      </w:r>
    </w:p>
    <w:p w14:paraId="7CD4132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4.承包人应建立相应的应急响应组织，以便能迅速处理突发意外。</w:t>
      </w:r>
    </w:p>
    <w:p w14:paraId="6EF06D0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5.承包人应建立专项应急响应预案，包括重大人身伤亡事故的救护预案、火灾响应预案、“四防”预案（防风、防冻、防雷、防暴雨）、重大疫病防护预案、环境污染防护预案、地质灾害防护预案等。</w:t>
      </w:r>
    </w:p>
    <w:p w14:paraId="1894857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6.承包人应对应急预案进行适当演练，保证应急预案的可操作性。</w:t>
      </w:r>
    </w:p>
    <w:p w14:paraId="14D19FF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7.在工地的其他施工单位发生重大事故时，承包人应无条件立即配合、支持事故抢险。</w:t>
      </w:r>
    </w:p>
    <w:p w14:paraId="48F2B0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8.承包人必须为事故处置支付各项费用，包括受伤者的抚恤、补偿等费用，并按合同要求赔偿对发包人造成的损失。</w:t>
      </w:r>
    </w:p>
    <w:p w14:paraId="215F97A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9.由于发包人原因而造成的事故，发包人应负责按事故的具体损失情况给予承包人经济赔偿。</w:t>
      </w:r>
    </w:p>
    <w:p w14:paraId="6B4ADCA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10.涉及承包人员工的伤害事故，承包人除要报告发包人或其委托的监理公司外，还应负责按照国家、行业和本单位上级公司的要求，上报事故。</w:t>
      </w:r>
      <w:bookmarkStart w:id="233" w:name="_Toc247431441"/>
      <w:bookmarkStart w:id="234" w:name="_Toc239510307"/>
      <w:bookmarkStart w:id="235" w:name="_Toc532375716"/>
      <w:bookmarkStart w:id="236" w:name="_Toc247418281"/>
    </w:p>
    <w:p w14:paraId="31FFE8D5">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十六、安全业绩考核</w:t>
      </w:r>
      <w:bookmarkEnd w:id="233"/>
      <w:bookmarkEnd w:id="234"/>
      <w:bookmarkEnd w:id="235"/>
      <w:bookmarkEnd w:id="236"/>
    </w:p>
    <w:p w14:paraId="4193F81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为了落实安全管理的责任，承包人在施工过程中发生安全事故时，承包人除应按国家有关规定承担责任和处罚外，发包人将按照以下标准进行考核：</w:t>
      </w:r>
    </w:p>
    <w:tbl>
      <w:tblPr>
        <w:tblStyle w:val="17"/>
        <w:tblW w:w="7005" w:type="dxa"/>
        <w:jc w:val="center"/>
        <w:tblLayout w:type="fixed"/>
        <w:tblCellMar>
          <w:top w:w="0" w:type="dxa"/>
          <w:left w:w="0" w:type="dxa"/>
          <w:bottom w:w="0" w:type="dxa"/>
          <w:right w:w="0" w:type="dxa"/>
        </w:tblCellMar>
      </w:tblPr>
      <w:tblGrid>
        <w:gridCol w:w="3240"/>
        <w:gridCol w:w="3765"/>
      </w:tblGrid>
      <w:tr w14:paraId="2B7CE484">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A1537C">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0CA0A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违约金额</w:t>
            </w:r>
          </w:p>
        </w:tc>
      </w:tr>
      <w:tr w14:paraId="47422728">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57635B">
            <w:pPr>
              <w:jc w:val="both"/>
              <w:rPr>
                <w:rFonts w:hint="eastAsia" w:ascii="仿宋" w:hAnsi="仿宋" w:eastAsia="仿宋" w:cs="仿宋"/>
                <w:color w:val="auto"/>
                <w:sz w:val="24"/>
                <w:szCs w:val="24"/>
              </w:rPr>
            </w:pPr>
            <w:r>
              <w:rPr>
                <w:rFonts w:hint="eastAsia" w:ascii="仿宋" w:hAnsi="仿宋" w:eastAsia="仿宋" w:cs="仿宋"/>
                <w:color w:val="auto"/>
                <w:sz w:val="24"/>
                <w:szCs w:val="24"/>
              </w:rPr>
              <w:t>较大事故</w:t>
            </w:r>
          </w:p>
        </w:tc>
        <w:tc>
          <w:tcPr>
            <w:tcW w:w="3765" w:type="dxa"/>
            <w:tcBorders>
              <w:top w:val="single" w:color="auto" w:sz="8" w:space="0"/>
              <w:left w:val="nil"/>
              <w:bottom w:val="single" w:color="auto" w:sz="8" w:space="0"/>
              <w:right w:val="single" w:color="auto" w:sz="8" w:space="0"/>
            </w:tcBorders>
            <w:vAlign w:val="center"/>
          </w:tcPr>
          <w:p w14:paraId="408B9E3B">
            <w:pPr>
              <w:jc w:val="both"/>
              <w:rPr>
                <w:rFonts w:hint="eastAsia" w:ascii="仿宋" w:hAnsi="仿宋" w:eastAsia="仿宋" w:cs="仿宋"/>
                <w:color w:val="auto"/>
                <w:sz w:val="24"/>
                <w:szCs w:val="24"/>
              </w:rPr>
            </w:pPr>
            <w:r>
              <w:rPr>
                <w:rFonts w:hint="eastAsia" w:ascii="仿宋" w:hAnsi="仿宋" w:eastAsia="仿宋" w:cs="仿宋"/>
                <w:color w:val="auto"/>
                <w:sz w:val="24"/>
                <w:szCs w:val="24"/>
              </w:rPr>
              <w:t>签约合同价的0.5‰</w:t>
            </w:r>
          </w:p>
        </w:tc>
      </w:tr>
      <w:tr w14:paraId="0E8ACAF5">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E50EAF">
            <w:pPr>
              <w:jc w:val="both"/>
              <w:rPr>
                <w:rFonts w:hint="eastAsia" w:ascii="仿宋" w:hAnsi="仿宋" w:eastAsia="仿宋" w:cs="仿宋"/>
                <w:color w:val="auto"/>
                <w:sz w:val="24"/>
                <w:szCs w:val="24"/>
              </w:rPr>
            </w:pPr>
            <w:r>
              <w:rPr>
                <w:rFonts w:hint="eastAsia" w:ascii="仿宋" w:hAnsi="仿宋" w:eastAsia="仿宋" w:cs="仿宋"/>
                <w:color w:val="auto"/>
                <w:sz w:val="24"/>
                <w:szCs w:val="24"/>
              </w:rPr>
              <w:t>重大事故</w:t>
            </w:r>
          </w:p>
        </w:tc>
        <w:tc>
          <w:tcPr>
            <w:tcW w:w="3765" w:type="dxa"/>
            <w:tcBorders>
              <w:top w:val="single" w:color="auto" w:sz="8" w:space="0"/>
              <w:left w:val="nil"/>
              <w:bottom w:val="single" w:color="auto" w:sz="8" w:space="0"/>
              <w:right w:val="single" w:color="auto" w:sz="8" w:space="0"/>
            </w:tcBorders>
            <w:vAlign w:val="center"/>
          </w:tcPr>
          <w:p w14:paraId="217131A8">
            <w:pPr>
              <w:jc w:val="both"/>
              <w:rPr>
                <w:rFonts w:hint="eastAsia" w:ascii="仿宋" w:hAnsi="仿宋" w:eastAsia="仿宋" w:cs="仿宋"/>
                <w:color w:val="auto"/>
                <w:sz w:val="24"/>
                <w:szCs w:val="24"/>
              </w:rPr>
            </w:pPr>
            <w:r>
              <w:rPr>
                <w:rFonts w:hint="eastAsia" w:ascii="仿宋" w:hAnsi="仿宋" w:eastAsia="仿宋" w:cs="仿宋"/>
                <w:color w:val="auto"/>
                <w:sz w:val="24"/>
                <w:szCs w:val="24"/>
              </w:rPr>
              <w:t>签约合同价的2‰</w:t>
            </w:r>
          </w:p>
        </w:tc>
      </w:tr>
      <w:tr w14:paraId="20BD4EFA">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98D312">
            <w:pPr>
              <w:jc w:val="both"/>
              <w:rPr>
                <w:rFonts w:hint="eastAsia" w:ascii="仿宋" w:hAnsi="仿宋" w:eastAsia="仿宋" w:cs="仿宋"/>
                <w:color w:val="auto"/>
                <w:sz w:val="24"/>
                <w:szCs w:val="24"/>
              </w:rPr>
            </w:pPr>
            <w:r>
              <w:rPr>
                <w:rFonts w:hint="eastAsia" w:ascii="仿宋" w:hAnsi="仿宋" w:eastAsia="仿宋" w:cs="仿宋"/>
                <w:color w:val="auto"/>
                <w:sz w:val="24"/>
                <w:szCs w:val="24"/>
              </w:rPr>
              <w:t>特别重大事故</w:t>
            </w:r>
          </w:p>
        </w:tc>
        <w:tc>
          <w:tcPr>
            <w:tcW w:w="3765" w:type="dxa"/>
            <w:tcBorders>
              <w:top w:val="single" w:color="auto" w:sz="8" w:space="0"/>
              <w:left w:val="nil"/>
              <w:bottom w:val="single" w:color="auto" w:sz="8" w:space="0"/>
              <w:right w:val="single" w:color="auto" w:sz="8" w:space="0"/>
            </w:tcBorders>
            <w:vAlign w:val="center"/>
          </w:tcPr>
          <w:p w14:paraId="6AE650F9">
            <w:pPr>
              <w:jc w:val="both"/>
              <w:rPr>
                <w:rFonts w:hint="eastAsia" w:ascii="仿宋" w:hAnsi="仿宋" w:eastAsia="仿宋" w:cs="仿宋"/>
                <w:color w:val="auto"/>
                <w:sz w:val="24"/>
                <w:szCs w:val="24"/>
              </w:rPr>
            </w:pPr>
            <w:r>
              <w:rPr>
                <w:rFonts w:hint="eastAsia" w:ascii="仿宋" w:hAnsi="仿宋" w:eastAsia="仿宋" w:cs="仿宋"/>
                <w:color w:val="auto"/>
                <w:sz w:val="24"/>
                <w:szCs w:val="24"/>
              </w:rPr>
              <w:t>签约合同价的4‰</w:t>
            </w:r>
          </w:p>
        </w:tc>
      </w:tr>
    </w:tbl>
    <w:p w14:paraId="198BA3A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（1）较大事故，是指造成3人以上10人以下死亡，或者10人以上50人以下重伤，或者1000万元以上5000万元以下直接经济损失的事故；</w:t>
      </w:r>
    </w:p>
    <w:p w14:paraId="1D12783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（2）重大事故，是指造成10人以上30人以下死亡，或者50人以上100人以下重伤，或者5000万元以上1亿元以下直接经济损失的事故；</w:t>
      </w:r>
    </w:p>
    <w:p w14:paraId="689BA0F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（3）特别重大事故，是指造成30人以上死亡，或者100人以上重伤（包括急性工业中毒，下同），或者1亿元以上直接经济损失的事故；</w:t>
      </w:r>
    </w:p>
    <w:p w14:paraId="3579FCC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（4）所称的“以上”包括本数，所称的“以下”不包括本数；</w:t>
      </w:r>
    </w:p>
    <w:p w14:paraId="23E3B6E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（5）如整个施工过程未发生以上安全事故，则给予承包人建安费总额的1‰的安全奖励。</w:t>
      </w:r>
    </w:p>
    <w:p w14:paraId="71ECE73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包人或其委托的监理公司负责对承包人的安全业绩进行考核。每次合同支付前，承包人提交自我安全业绩评估报告，然后交发包人或其委托的监理公司评价。发包人或其委托的监理公司在签署评价意见后，将作为合同支付依据之一，同时也作为是否可接受承包人再次参加发包人项目投标的依据之一。</w:t>
      </w:r>
      <w:bookmarkStart w:id="237" w:name="_Toc247418282"/>
      <w:bookmarkStart w:id="238" w:name="_Toc532375717"/>
      <w:bookmarkStart w:id="239" w:name="_Toc239510308"/>
      <w:bookmarkStart w:id="240" w:name="_Toc247431442"/>
    </w:p>
    <w:p w14:paraId="286E9893">
      <w:pPr>
        <w:spacing w:line="360" w:lineRule="auto"/>
        <w:ind w:firstLine="480"/>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十七、协议条款的修订</w:t>
      </w:r>
      <w:bookmarkEnd w:id="237"/>
      <w:bookmarkEnd w:id="238"/>
      <w:bookmarkEnd w:id="239"/>
      <w:bookmarkEnd w:id="240"/>
    </w:p>
    <w:p w14:paraId="35DFFB6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在项目实施过程中，经双方友好协商，本协议的有关条款也可做出相应的修改。</w:t>
      </w:r>
    </w:p>
    <w:p w14:paraId="6CBD24A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本工程安全管理协议，由发承包人双方在施工承包合同签订后7天内共同签署，作为施工合同附件。</w:t>
      </w:r>
    </w:p>
    <w:p w14:paraId="2F348412">
      <w:pPr>
        <w:spacing w:line="360" w:lineRule="auto"/>
        <w:ind w:firstLine="480"/>
        <w:jc w:val="both"/>
        <w:rPr>
          <w:rFonts w:hint="eastAsia" w:ascii="仿宋" w:hAnsi="仿宋" w:eastAsia="仿宋" w:cs="仿宋"/>
          <w:color w:val="auto"/>
          <w:sz w:val="24"/>
          <w:szCs w:val="24"/>
          <w:lang w:eastAsia="zh-CN"/>
        </w:rPr>
      </w:pPr>
    </w:p>
    <w:p w14:paraId="0CBB7930">
      <w:pPr>
        <w:spacing w:line="360" w:lineRule="auto"/>
        <w:ind w:firstLine="480"/>
        <w:jc w:val="both"/>
        <w:rPr>
          <w:rFonts w:hint="eastAsia" w:ascii="仿宋" w:hAnsi="仿宋" w:eastAsia="仿宋" w:cs="仿宋"/>
          <w:color w:val="auto"/>
          <w:sz w:val="24"/>
          <w:szCs w:val="24"/>
          <w:lang w:eastAsia="zh-CN"/>
        </w:rPr>
      </w:pPr>
    </w:p>
    <w:p w14:paraId="0F24E75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发包人（甲方）：重庆理工职业学院（盖章）</w:t>
      </w:r>
    </w:p>
    <w:p w14:paraId="15CB4089">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31777208">
      <w:pPr>
        <w:spacing w:line="360" w:lineRule="auto"/>
        <w:ind w:firstLine="480"/>
        <w:jc w:val="both"/>
        <w:rPr>
          <w:rFonts w:hint="eastAsia" w:ascii="仿宋" w:hAnsi="仿宋" w:eastAsia="仿宋" w:cs="仿宋"/>
          <w:color w:val="auto"/>
          <w:sz w:val="24"/>
          <w:szCs w:val="24"/>
          <w:u w:val="single"/>
          <w:lang w:eastAsia="zh-CN"/>
        </w:rPr>
      </w:pPr>
    </w:p>
    <w:p w14:paraId="4E5E6177">
      <w:pPr>
        <w:spacing w:line="360" w:lineRule="auto"/>
        <w:ind w:firstLine="480"/>
        <w:jc w:val="both"/>
        <w:rPr>
          <w:rFonts w:hint="eastAsia" w:ascii="仿宋" w:hAnsi="仿宋" w:eastAsia="仿宋" w:cs="仿宋"/>
          <w:color w:val="auto"/>
          <w:sz w:val="24"/>
          <w:szCs w:val="24"/>
          <w:u w:val="single"/>
          <w:lang w:eastAsia="zh-CN"/>
        </w:rPr>
      </w:pPr>
    </w:p>
    <w:p w14:paraId="15CDF3C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承包人（乙方）：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（盖章）</w:t>
      </w:r>
    </w:p>
    <w:p w14:paraId="190E52E5">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558ECBBE">
      <w:pPr>
        <w:spacing w:line="360" w:lineRule="auto"/>
        <w:ind w:firstLine="480"/>
        <w:jc w:val="both"/>
        <w:rPr>
          <w:rFonts w:hint="eastAsia" w:ascii="仿宋" w:hAnsi="仿宋" w:eastAsia="仿宋" w:cs="仿宋"/>
          <w:color w:val="auto"/>
          <w:sz w:val="24"/>
          <w:szCs w:val="24"/>
          <w:u w:val="single"/>
          <w:lang w:eastAsia="zh-CN"/>
        </w:rPr>
      </w:pPr>
    </w:p>
    <w:p w14:paraId="622B2CD6">
      <w:pPr>
        <w:spacing w:line="360" w:lineRule="auto"/>
        <w:ind w:firstLine="480"/>
        <w:jc w:val="both"/>
        <w:rPr>
          <w:rFonts w:hint="eastAsia" w:ascii="仿宋" w:hAnsi="仿宋" w:eastAsia="仿宋" w:cs="仿宋"/>
          <w:color w:val="auto"/>
          <w:sz w:val="24"/>
          <w:szCs w:val="24"/>
          <w:u w:val="single"/>
          <w:lang w:eastAsia="zh-CN"/>
        </w:rPr>
      </w:pPr>
    </w:p>
    <w:p w14:paraId="2D63EE67">
      <w:pPr>
        <w:spacing w:line="360" w:lineRule="auto"/>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签订日期：2025年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6DBDA508">
      <w:pPr>
        <w:spacing w:line="360" w:lineRule="auto"/>
        <w:jc w:val="both"/>
        <w:rPr>
          <w:rFonts w:hint="eastAsia" w:ascii="仿宋" w:hAnsi="仿宋" w:eastAsia="仿宋" w:cs="仿宋"/>
          <w:color w:val="auto"/>
          <w:sz w:val="24"/>
          <w:szCs w:val="24"/>
          <w:lang w:eastAsia="zh-CN"/>
        </w:rPr>
      </w:pPr>
    </w:p>
    <w:p w14:paraId="1F7105EA">
      <w:pPr>
        <w:spacing w:line="360" w:lineRule="auto"/>
        <w:jc w:val="both"/>
        <w:rPr>
          <w:rFonts w:hint="eastAsia" w:ascii="仿宋" w:hAnsi="仿宋" w:eastAsia="仿宋" w:cs="仿宋"/>
          <w:color w:val="auto"/>
          <w:sz w:val="24"/>
          <w:szCs w:val="24"/>
          <w:lang w:eastAsia="zh-CN"/>
        </w:rPr>
      </w:pPr>
    </w:p>
    <w:p w14:paraId="4DFCABF6">
      <w:pPr>
        <w:spacing w:line="360" w:lineRule="auto"/>
        <w:jc w:val="both"/>
        <w:rPr>
          <w:rFonts w:hint="eastAsia" w:ascii="仿宋" w:hAnsi="仿宋" w:eastAsia="仿宋" w:cs="仿宋"/>
          <w:color w:val="auto"/>
          <w:sz w:val="24"/>
          <w:szCs w:val="24"/>
          <w:lang w:eastAsia="zh-CN"/>
        </w:rPr>
      </w:pPr>
    </w:p>
    <w:p w14:paraId="715DE0EB">
      <w:pPr>
        <w:spacing w:line="360" w:lineRule="auto"/>
        <w:jc w:val="both"/>
        <w:rPr>
          <w:rFonts w:hint="eastAsia" w:ascii="仿宋" w:hAnsi="仿宋" w:eastAsia="仿宋" w:cs="仿宋"/>
          <w:color w:val="auto"/>
          <w:sz w:val="24"/>
          <w:szCs w:val="24"/>
          <w:lang w:eastAsia="zh-CN"/>
        </w:rPr>
      </w:pPr>
    </w:p>
    <w:p w14:paraId="398A8E6F">
      <w:pPr>
        <w:spacing w:line="360" w:lineRule="auto"/>
        <w:jc w:val="both"/>
        <w:rPr>
          <w:rFonts w:hint="eastAsia" w:ascii="仿宋" w:hAnsi="仿宋" w:eastAsia="仿宋" w:cs="仿宋"/>
          <w:color w:val="auto"/>
          <w:sz w:val="24"/>
          <w:szCs w:val="24"/>
          <w:lang w:eastAsia="zh-CN"/>
        </w:rPr>
      </w:pPr>
    </w:p>
    <w:p w14:paraId="138703EE">
      <w:pPr>
        <w:spacing w:line="360" w:lineRule="auto"/>
        <w:jc w:val="both"/>
        <w:rPr>
          <w:rFonts w:hint="eastAsia" w:ascii="仿宋" w:hAnsi="仿宋" w:eastAsia="仿宋" w:cs="仿宋"/>
          <w:color w:val="auto"/>
          <w:sz w:val="24"/>
          <w:szCs w:val="24"/>
          <w:lang w:eastAsia="zh-CN"/>
        </w:rPr>
      </w:pPr>
    </w:p>
    <w:p w14:paraId="3DAE7F81">
      <w:pPr>
        <w:spacing w:line="360" w:lineRule="auto"/>
        <w:jc w:val="both"/>
        <w:rPr>
          <w:rFonts w:hint="eastAsia" w:ascii="仿宋" w:hAnsi="仿宋" w:eastAsia="仿宋" w:cs="仿宋"/>
          <w:color w:val="auto"/>
          <w:sz w:val="24"/>
          <w:szCs w:val="24"/>
          <w:lang w:eastAsia="zh-CN"/>
        </w:rPr>
      </w:pPr>
    </w:p>
    <w:p w14:paraId="6A5E3A9F">
      <w:pPr>
        <w:spacing w:line="360" w:lineRule="auto"/>
        <w:jc w:val="both"/>
        <w:rPr>
          <w:rFonts w:hint="eastAsia" w:ascii="仿宋" w:hAnsi="仿宋" w:eastAsia="仿宋" w:cs="仿宋"/>
          <w:color w:val="auto"/>
          <w:sz w:val="24"/>
          <w:szCs w:val="24"/>
          <w:lang w:eastAsia="zh-CN"/>
        </w:rPr>
      </w:pPr>
    </w:p>
    <w:p w14:paraId="3BFBDFE5">
      <w:pPr>
        <w:spacing w:line="360" w:lineRule="auto"/>
        <w:jc w:val="both"/>
        <w:rPr>
          <w:rFonts w:hint="eastAsia" w:ascii="仿宋" w:hAnsi="仿宋" w:eastAsia="仿宋" w:cs="仿宋"/>
          <w:color w:val="auto"/>
          <w:sz w:val="24"/>
          <w:szCs w:val="24"/>
          <w:lang w:eastAsia="zh-CN"/>
        </w:rPr>
      </w:pPr>
    </w:p>
    <w:p w14:paraId="48C930E1">
      <w:pPr>
        <w:spacing w:line="360" w:lineRule="auto"/>
        <w:jc w:val="both"/>
        <w:rPr>
          <w:rFonts w:hint="eastAsia" w:ascii="仿宋" w:hAnsi="仿宋" w:eastAsia="仿宋" w:cs="仿宋"/>
          <w:color w:val="auto"/>
          <w:sz w:val="24"/>
          <w:szCs w:val="24"/>
          <w:lang w:eastAsia="zh-CN"/>
        </w:rPr>
      </w:pPr>
    </w:p>
    <w:p w14:paraId="6964F5A9">
      <w:pPr>
        <w:spacing w:line="360" w:lineRule="auto"/>
        <w:jc w:val="both"/>
        <w:rPr>
          <w:rFonts w:hint="eastAsia" w:ascii="仿宋" w:hAnsi="仿宋" w:eastAsia="仿宋" w:cs="仿宋"/>
          <w:color w:val="auto"/>
          <w:sz w:val="24"/>
          <w:szCs w:val="24"/>
          <w:lang w:eastAsia="zh-CN"/>
        </w:rPr>
      </w:pPr>
    </w:p>
    <w:p w14:paraId="61315100">
      <w:pPr>
        <w:spacing w:line="360" w:lineRule="auto"/>
        <w:jc w:val="both"/>
        <w:rPr>
          <w:rFonts w:hint="eastAsia" w:ascii="仿宋" w:hAnsi="仿宋" w:eastAsia="仿宋" w:cs="仿宋"/>
          <w:color w:val="auto"/>
          <w:sz w:val="24"/>
          <w:szCs w:val="24"/>
          <w:lang w:eastAsia="zh-CN"/>
        </w:rPr>
      </w:pPr>
    </w:p>
    <w:p w14:paraId="3BFD4976">
      <w:pPr>
        <w:spacing w:line="360" w:lineRule="auto"/>
        <w:jc w:val="both"/>
        <w:rPr>
          <w:rFonts w:hint="eastAsia" w:ascii="仿宋" w:hAnsi="仿宋" w:eastAsia="仿宋" w:cs="仿宋"/>
          <w:color w:val="auto"/>
          <w:sz w:val="24"/>
          <w:szCs w:val="24"/>
          <w:lang w:eastAsia="zh-CN"/>
        </w:rPr>
      </w:pPr>
    </w:p>
    <w:p w14:paraId="7EF8133F">
      <w:pPr>
        <w:spacing w:line="360" w:lineRule="auto"/>
        <w:jc w:val="both"/>
        <w:rPr>
          <w:rFonts w:hint="eastAsia" w:ascii="仿宋" w:hAnsi="仿宋" w:eastAsia="仿宋" w:cs="仿宋"/>
          <w:color w:val="auto"/>
          <w:sz w:val="24"/>
          <w:szCs w:val="24"/>
          <w:lang w:eastAsia="zh-CN"/>
        </w:rPr>
      </w:pPr>
    </w:p>
    <w:p w14:paraId="0E0760DC">
      <w:pPr>
        <w:spacing w:line="360" w:lineRule="auto"/>
        <w:jc w:val="both"/>
        <w:rPr>
          <w:rFonts w:hint="eastAsia" w:ascii="仿宋" w:hAnsi="仿宋" w:eastAsia="仿宋" w:cs="仿宋"/>
          <w:color w:val="auto"/>
          <w:sz w:val="24"/>
          <w:szCs w:val="24"/>
          <w:lang w:eastAsia="zh-CN"/>
        </w:rPr>
      </w:pPr>
    </w:p>
    <w:p w14:paraId="4C1B8CE5">
      <w:pPr>
        <w:spacing w:line="360" w:lineRule="auto"/>
        <w:jc w:val="both"/>
        <w:rPr>
          <w:rFonts w:hint="eastAsia" w:ascii="仿宋" w:hAnsi="仿宋" w:eastAsia="仿宋" w:cs="仿宋"/>
          <w:color w:val="auto"/>
          <w:sz w:val="24"/>
          <w:szCs w:val="24"/>
          <w:lang w:eastAsia="zh-CN"/>
        </w:rPr>
      </w:pPr>
    </w:p>
    <w:p w14:paraId="57F91724">
      <w:pPr>
        <w:spacing w:line="360" w:lineRule="auto"/>
        <w:jc w:val="both"/>
        <w:rPr>
          <w:rFonts w:hint="eastAsia" w:ascii="仿宋" w:hAnsi="仿宋" w:eastAsia="仿宋" w:cs="仿宋"/>
          <w:color w:val="auto"/>
          <w:sz w:val="24"/>
          <w:szCs w:val="24"/>
          <w:lang w:eastAsia="zh-CN"/>
        </w:rPr>
      </w:pPr>
    </w:p>
    <w:p w14:paraId="44F9BEC7">
      <w:pPr>
        <w:kinsoku/>
        <w:autoSpaceDE/>
        <w:autoSpaceDN/>
        <w:adjustRightInd/>
        <w:snapToGrid/>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p>
    <w:p w14:paraId="09F993C7">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合同附件4：</w:t>
      </w:r>
    </w:p>
    <w:p w14:paraId="46A6E8A6">
      <w:pPr>
        <w:spacing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保障农民工工资支付协议</w:t>
      </w:r>
    </w:p>
    <w:p w14:paraId="0C37FA5B">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发包人（甲方）：重庆理工职业学院</w:t>
      </w:r>
    </w:p>
    <w:p w14:paraId="5A8C2490">
      <w:pPr>
        <w:spacing w:line="360" w:lineRule="auto"/>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承包人（乙方）：</w:t>
      </w:r>
      <w:r>
        <w:rPr>
          <w:rFonts w:hint="eastAsia" w:ascii="仿宋" w:hAnsi="仿宋" w:eastAsia="仿宋" w:cs="仿宋"/>
          <w:b/>
          <w:bCs/>
          <w:color w:val="auto"/>
          <w:sz w:val="24"/>
          <w:szCs w:val="24"/>
          <w:u w:val="single"/>
          <w:lang w:eastAsia="zh-CN"/>
        </w:rPr>
        <w:t xml:space="preserve">                </w:t>
      </w:r>
    </w:p>
    <w:p w14:paraId="4D63884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7E7099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14:paraId="40B3738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二、由于工程进度款申报和审查需一定时间，其与农民工工资发放时间存在一定时间的延后，乙方承诺有垫付不低于4个月农民工工资能力。</w:t>
      </w:r>
    </w:p>
    <w:p w14:paraId="3F63EF1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14:paraId="77D71DA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四、若发现承包人有下列事项的，发包人在支付当期进度款时暂扣当期应支付进度款5%比例的款项。</w:t>
      </w:r>
    </w:p>
    <w:p w14:paraId="1299EF5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（一）现场检查发现项目存在拖欠农民工工资情况并经核查属实的；</w:t>
      </w:r>
    </w:p>
    <w:p w14:paraId="367F4B0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（二）相关行政管理部门检查发现存在拖欠农民工工资情况并经核查属实的；</w:t>
      </w:r>
    </w:p>
    <w:p w14:paraId="4C6CFE8A">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（三）有拖欠农民工工资投诉事项并经核查属实的。</w:t>
      </w:r>
    </w:p>
    <w:p w14:paraId="0C6DCF2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BB1990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六、本协议经双方法定代表人或委托代理人签名并加盖公章后生效，履行完毕后自然失效。</w:t>
      </w:r>
    </w:p>
    <w:p w14:paraId="1749B8A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七、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023CCCC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八、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p w14:paraId="7188FBC1">
      <w:pPr>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附件：</w:t>
      </w:r>
    </w:p>
    <w:tbl>
      <w:tblPr>
        <w:tblStyle w:val="17"/>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7"/>
        <w:gridCol w:w="4219"/>
      </w:tblGrid>
      <w:tr w14:paraId="3CDB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76" w:type="dxa"/>
            <w:gridSpan w:val="2"/>
            <w:vAlign w:val="center"/>
          </w:tcPr>
          <w:p w14:paraId="2F2F18EC">
            <w:pPr>
              <w:jc w:val="both"/>
              <w:rPr>
                <w:rFonts w:hint="eastAsia" w:ascii="仿宋" w:hAnsi="仿宋" w:eastAsia="仿宋" w:cs="仿宋"/>
                <w:color w:val="auto"/>
              </w:rPr>
            </w:pPr>
            <w:r>
              <w:rPr>
                <w:rFonts w:hint="eastAsia" w:ascii="仿宋" w:hAnsi="仿宋" w:eastAsia="仿宋" w:cs="仿宋"/>
                <w:color w:val="auto"/>
              </w:rPr>
              <w:t>工程名称：</w:t>
            </w:r>
          </w:p>
        </w:tc>
      </w:tr>
      <w:tr w14:paraId="341A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76" w:type="dxa"/>
            <w:gridSpan w:val="2"/>
            <w:vAlign w:val="center"/>
          </w:tcPr>
          <w:p w14:paraId="5A100844">
            <w:pPr>
              <w:jc w:val="both"/>
              <w:rPr>
                <w:rFonts w:hint="eastAsia" w:ascii="仿宋" w:hAnsi="仿宋" w:eastAsia="仿宋" w:cs="仿宋"/>
                <w:color w:val="auto"/>
              </w:rPr>
            </w:pPr>
            <w:r>
              <w:rPr>
                <w:rFonts w:hint="eastAsia" w:ascii="仿宋" w:hAnsi="仿宋" w:eastAsia="仿宋" w:cs="仿宋"/>
                <w:color w:val="auto"/>
              </w:rPr>
              <w:t>施工单位：</w:t>
            </w:r>
          </w:p>
        </w:tc>
      </w:tr>
      <w:tr w14:paraId="2C2F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76" w:type="dxa"/>
            <w:gridSpan w:val="2"/>
            <w:vAlign w:val="center"/>
          </w:tcPr>
          <w:p w14:paraId="64D07544">
            <w:pPr>
              <w:jc w:val="both"/>
              <w:rPr>
                <w:rFonts w:hint="eastAsia" w:ascii="仿宋" w:hAnsi="仿宋" w:eastAsia="仿宋" w:cs="仿宋"/>
                <w:color w:val="auto"/>
              </w:rPr>
            </w:pPr>
            <w:r>
              <w:rPr>
                <w:rFonts w:hint="eastAsia" w:ascii="仿宋" w:hAnsi="仿宋" w:eastAsia="仿宋" w:cs="仿宋"/>
                <w:color w:val="auto"/>
              </w:rPr>
              <w:t>监理单位：</w:t>
            </w:r>
          </w:p>
        </w:tc>
      </w:tr>
      <w:tr w14:paraId="09CF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9076" w:type="dxa"/>
            <w:gridSpan w:val="2"/>
          </w:tcPr>
          <w:p w14:paraId="3ABDBA7E">
            <w:pPr>
              <w:jc w:val="both"/>
              <w:rPr>
                <w:rFonts w:hint="eastAsia" w:ascii="仿宋" w:hAnsi="仿宋" w:eastAsia="仿宋" w:cs="仿宋"/>
                <w:color w:val="auto"/>
                <w:lang w:eastAsia="zh-CN"/>
              </w:rPr>
            </w:pPr>
            <w:r>
              <w:rPr>
                <w:rFonts w:hint="eastAsia" w:ascii="仿宋" w:hAnsi="仿宋" w:eastAsia="仿宋" w:cs="仿宋"/>
                <w:color w:val="auto"/>
                <w:lang w:eastAsia="zh-CN"/>
              </w:rPr>
              <w:t>（项目业主单位名称）：</w:t>
            </w:r>
            <w:r>
              <w:rPr>
                <w:rFonts w:hint="eastAsia" w:ascii="仿宋" w:hAnsi="仿宋" w:eastAsia="仿宋" w:cs="仿宋"/>
                <w:color w:val="auto"/>
                <w:u w:val="single"/>
                <w:lang w:eastAsia="zh-CN"/>
              </w:rPr>
              <w:t xml:space="preserve">               </w:t>
            </w:r>
          </w:p>
          <w:p w14:paraId="1BA83BEF">
            <w:pPr>
              <w:ind w:firstLine="420"/>
              <w:jc w:val="both"/>
              <w:rPr>
                <w:rFonts w:hint="eastAsia" w:ascii="仿宋" w:hAnsi="仿宋" w:eastAsia="仿宋" w:cs="仿宋"/>
                <w:color w:val="auto"/>
                <w:lang w:eastAsia="zh-CN"/>
              </w:rPr>
            </w:pPr>
            <w:r>
              <w:rPr>
                <w:rFonts w:hint="eastAsia" w:ascii="仿宋" w:hAnsi="仿宋" w:eastAsia="仿宋" w:cs="仿宋"/>
                <w:color w:val="auto"/>
                <w:lang w:eastAsia="zh-CN"/>
              </w:rPr>
              <w:t>我单位负责承建的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（工程名称）无拖欠农民工资的情况，贵单位先期支付我单位的工程款已优先用于支付了农民工工资，农民工工资全部按时足额进行了发放，请贵单位予以审核。</w:t>
            </w:r>
          </w:p>
          <w:p w14:paraId="200FF03B">
            <w:pPr>
              <w:ind w:firstLine="420"/>
              <w:jc w:val="both"/>
              <w:rPr>
                <w:rFonts w:hint="eastAsia" w:ascii="仿宋" w:hAnsi="仿宋" w:eastAsia="仿宋" w:cs="仿宋"/>
                <w:color w:val="auto"/>
                <w:lang w:eastAsia="zh-CN"/>
              </w:rPr>
            </w:pPr>
          </w:p>
          <w:p w14:paraId="1E7FC7F3">
            <w:pPr>
              <w:jc w:val="both"/>
              <w:rPr>
                <w:rFonts w:hint="eastAsia" w:ascii="仿宋" w:hAnsi="仿宋" w:eastAsia="仿宋" w:cs="仿宋"/>
                <w:color w:val="auto"/>
                <w:lang w:eastAsia="zh-CN"/>
              </w:rPr>
            </w:pPr>
          </w:p>
          <w:p w14:paraId="272677D1">
            <w:pPr>
              <w:jc w:val="both"/>
              <w:rPr>
                <w:rFonts w:hint="eastAsia" w:ascii="仿宋" w:hAnsi="仿宋" w:eastAsia="仿宋" w:cs="仿宋"/>
                <w:color w:val="auto"/>
                <w:lang w:eastAsia="zh-CN"/>
              </w:rPr>
            </w:pPr>
            <w:r>
              <w:rPr>
                <w:rFonts w:hint="eastAsia" w:ascii="仿宋" w:hAnsi="仿宋" w:eastAsia="仿宋" w:cs="仿宋"/>
                <w:color w:val="auto"/>
                <w:lang w:eastAsia="zh-CN"/>
              </w:rPr>
              <w:t>施工单位项目负责人签名（加盖项目章）：</w:t>
            </w:r>
            <w:r>
              <w:rPr>
                <w:rFonts w:hint="eastAsia" w:ascii="仿宋" w:hAnsi="仿宋" w:eastAsia="仿宋" w:cs="仿宋"/>
                <w:color w:val="auto"/>
                <w:u w:val="single"/>
                <w:lang w:eastAsia="zh-CN"/>
              </w:rPr>
              <w:t xml:space="preserve">                      </w:t>
            </w:r>
          </w:p>
        </w:tc>
      </w:tr>
      <w:tr w14:paraId="4FBE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857" w:type="dxa"/>
          </w:tcPr>
          <w:p w14:paraId="709B6D6E">
            <w:pPr>
              <w:jc w:val="both"/>
              <w:rPr>
                <w:rFonts w:hint="eastAsia" w:ascii="仿宋" w:hAnsi="仿宋" w:eastAsia="仿宋" w:cs="仿宋"/>
                <w:color w:val="auto"/>
              </w:rPr>
            </w:pPr>
            <w:r>
              <w:rPr>
                <w:rFonts w:hint="eastAsia" w:ascii="仿宋" w:hAnsi="仿宋" w:eastAsia="仿宋" w:cs="仿宋"/>
                <w:color w:val="auto"/>
              </w:rPr>
              <w:t>监理单位意见：</w:t>
            </w:r>
          </w:p>
        </w:tc>
        <w:tc>
          <w:tcPr>
            <w:tcW w:w="4219" w:type="dxa"/>
          </w:tcPr>
          <w:p w14:paraId="15C20821">
            <w:pPr>
              <w:jc w:val="both"/>
              <w:rPr>
                <w:rFonts w:hint="eastAsia" w:ascii="仿宋" w:hAnsi="仿宋" w:eastAsia="仿宋" w:cs="仿宋"/>
                <w:color w:val="auto"/>
                <w:lang w:eastAsia="zh-CN"/>
              </w:rPr>
            </w:pPr>
            <w:r>
              <w:rPr>
                <w:rFonts w:hint="eastAsia" w:ascii="仿宋" w:hAnsi="仿宋" w:eastAsia="仿宋" w:cs="仿宋"/>
                <w:color w:val="auto"/>
                <w:lang w:eastAsia="zh-CN"/>
              </w:rPr>
              <w:t>总监签名并加盖项目章：</w:t>
            </w:r>
          </w:p>
        </w:tc>
      </w:tr>
      <w:tr w14:paraId="2685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857" w:type="dxa"/>
          </w:tcPr>
          <w:p w14:paraId="5D5413BF">
            <w:pPr>
              <w:jc w:val="both"/>
              <w:rPr>
                <w:rFonts w:hint="eastAsia" w:ascii="仿宋" w:hAnsi="仿宋" w:eastAsia="仿宋" w:cs="仿宋"/>
                <w:color w:val="auto"/>
                <w:lang w:eastAsia="zh-CN"/>
              </w:rPr>
            </w:pPr>
            <w:r>
              <w:rPr>
                <w:rFonts w:hint="eastAsia" w:ascii="仿宋" w:hAnsi="仿宋" w:eastAsia="仿宋" w:cs="仿宋"/>
                <w:color w:val="auto"/>
                <w:lang w:eastAsia="zh-CN"/>
              </w:rPr>
              <w:t>工程部项目负责人意见：</w:t>
            </w:r>
          </w:p>
        </w:tc>
        <w:tc>
          <w:tcPr>
            <w:tcW w:w="4219" w:type="dxa"/>
          </w:tcPr>
          <w:p w14:paraId="7D865C07">
            <w:pPr>
              <w:jc w:val="both"/>
              <w:rPr>
                <w:rFonts w:hint="eastAsia" w:ascii="仿宋" w:hAnsi="仿宋" w:eastAsia="仿宋" w:cs="仿宋"/>
                <w:color w:val="auto"/>
              </w:rPr>
            </w:pPr>
            <w:r>
              <w:rPr>
                <w:rFonts w:hint="eastAsia" w:ascii="仿宋" w:hAnsi="仿宋" w:eastAsia="仿宋" w:cs="仿宋"/>
                <w:color w:val="auto"/>
              </w:rPr>
              <w:t>项目负责人签名：</w:t>
            </w:r>
          </w:p>
        </w:tc>
      </w:tr>
    </w:tbl>
    <w:p w14:paraId="673FC2AF">
      <w:pPr>
        <w:spacing w:line="360" w:lineRule="auto"/>
        <w:ind w:firstLine="480"/>
        <w:jc w:val="both"/>
        <w:rPr>
          <w:rFonts w:hint="eastAsia" w:ascii="仿宋" w:hAnsi="仿宋" w:eastAsia="仿宋" w:cs="仿宋"/>
          <w:color w:val="auto"/>
          <w:sz w:val="24"/>
          <w:szCs w:val="24"/>
        </w:rPr>
      </w:pPr>
      <w:bookmarkStart w:id="241" w:name="_Toc6968"/>
      <w:bookmarkStart w:id="242" w:name="_Toc18521"/>
      <w:bookmarkStart w:id="243" w:name="_Toc9538"/>
      <w:bookmarkStart w:id="244" w:name="_Toc12789072"/>
      <w:bookmarkStart w:id="245" w:name="_Toc65660378"/>
      <w:bookmarkStart w:id="246" w:name="_Toc106034807"/>
    </w:p>
    <w:p w14:paraId="141CA11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发包人（甲方）：重庆理工职业学院（盖章）</w:t>
      </w:r>
    </w:p>
    <w:p w14:paraId="295DEB2B">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1313A059">
      <w:pPr>
        <w:spacing w:line="360" w:lineRule="auto"/>
        <w:ind w:firstLine="480"/>
        <w:jc w:val="both"/>
        <w:rPr>
          <w:rFonts w:hint="eastAsia" w:ascii="仿宋" w:hAnsi="仿宋" w:eastAsia="仿宋" w:cs="仿宋"/>
          <w:color w:val="auto"/>
          <w:sz w:val="24"/>
          <w:szCs w:val="24"/>
          <w:u w:val="single"/>
          <w:lang w:eastAsia="zh-CN"/>
        </w:rPr>
      </w:pPr>
    </w:p>
    <w:p w14:paraId="72FB33F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承包人（乙方）：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（盖章）</w:t>
      </w:r>
    </w:p>
    <w:p w14:paraId="2A06AA49">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法定代表人/委托代理人（签章）：</w:t>
      </w:r>
      <w:r>
        <w:rPr>
          <w:rFonts w:hint="eastAsia" w:ascii="仿宋" w:hAnsi="仿宋" w:eastAsia="仿宋" w:cs="仿宋"/>
          <w:color w:val="auto"/>
          <w:sz w:val="24"/>
          <w:szCs w:val="24"/>
          <w:u w:val="single"/>
          <w:lang w:eastAsia="zh-CN"/>
        </w:rPr>
        <w:t xml:space="preserve">                </w:t>
      </w:r>
    </w:p>
    <w:p w14:paraId="5CBF74AE">
      <w:pPr>
        <w:spacing w:line="360" w:lineRule="auto"/>
        <w:ind w:firstLine="480"/>
        <w:jc w:val="both"/>
        <w:rPr>
          <w:rFonts w:hint="eastAsia" w:ascii="仿宋" w:hAnsi="仿宋" w:eastAsia="仿宋" w:cs="仿宋"/>
          <w:color w:val="auto"/>
          <w:sz w:val="24"/>
          <w:szCs w:val="24"/>
          <w:u w:val="single"/>
          <w:lang w:eastAsia="zh-CN"/>
        </w:rPr>
      </w:pPr>
    </w:p>
    <w:p w14:paraId="37EC1FF6">
      <w:pPr>
        <w:spacing w:line="360" w:lineRule="auto"/>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签订日期：2025年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1A2BD763">
      <w:pPr>
        <w:kinsoku/>
        <w:autoSpaceDE/>
        <w:autoSpaceDN/>
        <w:adjustRightInd/>
        <w:snapToGrid/>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br w:type="page"/>
      </w:r>
    </w:p>
    <w:p w14:paraId="7892F7A8">
      <w:pPr>
        <w:spacing w:line="360" w:lineRule="auto"/>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第七篇  响应文件格式要求</w:t>
      </w:r>
      <w:bookmarkEnd w:id="241"/>
      <w:bookmarkEnd w:id="242"/>
      <w:bookmarkEnd w:id="243"/>
      <w:bookmarkEnd w:id="244"/>
      <w:bookmarkEnd w:id="245"/>
      <w:bookmarkEnd w:id="246"/>
    </w:p>
    <w:p w14:paraId="3933D95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一、经济部分</w:t>
      </w:r>
    </w:p>
    <w:p w14:paraId="1525113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（一）报价函</w:t>
      </w:r>
    </w:p>
    <w:p w14:paraId="4A11DFB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（二）明细报价表</w:t>
      </w:r>
    </w:p>
    <w:p w14:paraId="2AC14C6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二、技术需求部分</w:t>
      </w:r>
    </w:p>
    <w:p w14:paraId="549DA14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（一）技术需求响应偏离表</w:t>
      </w:r>
    </w:p>
    <w:p w14:paraId="3E40022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（二）其他资料（格式自定）</w:t>
      </w:r>
    </w:p>
    <w:p w14:paraId="38A0175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三、服务部分</w:t>
      </w:r>
    </w:p>
    <w:p w14:paraId="70AD52A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（一）服务</w:t>
      </w:r>
      <w:bookmarkStart w:id="288" w:name="_GoBack"/>
      <w:bookmarkEnd w:id="288"/>
      <w:r>
        <w:rPr>
          <w:rFonts w:hint="eastAsia" w:ascii="仿宋" w:hAnsi="仿宋" w:eastAsia="仿宋" w:cs="仿宋"/>
          <w:color w:val="auto"/>
          <w:sz w:val="24"/>
          <w:szCs w:val="24"/>
          <w:lang w:eastAsia="zh-CN"/>
        </w:rPr>
        <w:t>响应偏离表</w:t>
      </w:r>
    </w:p>
    <w:p w14:paraId="4447D06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（二）其他优惠服务承诺（格式自定）</w:t>
      </w:r>
    </w:p>
    <w:p w14:paraId="1212675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四、资格条件及其他</w:t>
      </w:r>
    </w:p>
    <w:p w14:paraId="67144F3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（一）法人营业执照（副本）或事业单位法人证书（副本）或个体工商户营业执照或有效的自然人身份证明或社会团体法人登记证书</w:t>
      </w:r>
    </w:p>
    <w:p w14:paraId="113021E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（二）法定代表人身份证明书（格式）</w:t>
      </w:r>
    </w:p>
    <w:p w14:paraId="7E90D5A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（三）法定代表人授权委托书（格式）</w:t>
      </w:r>
    </w:p>
    <w:p w14:paraId="15627AB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（四）基本资格条件承诺函（格式）</w:t>
      </w:r>
    </w:p>
    <w:p w14:paraId="7E0A4D6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（五）特定资格条件证书或证明文件</w:t>
      </w:r>
    </w:p>
    <w:p w14:paraId="6C47D4C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五、其他资料</w:t>
      </w:r>
    </w:p>
    <w:p w14:paraId="1ABB0CBF">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（一）其他与项目有关的资料（自附）</w:t>
      </w:r>
      <w:bookmarkStart w:id="247" w:name="_Toc26343"/>
      <w:bookmarkStart w:id="248" w:name="_Toc106034808"/>
      <w:bookmarkStart w:id="249" w:name="_Toc30982"/>
      <w:bookmarkStart w:id="250" w:name="_Toc313008356"/>
      <w:bookmarkStart w:id="251" w:name="_Toc283382454"/>
      <w:bookmarkStart w:id="252" w:name="_Toc65660379"/>
      <w:bookmarkStart w:id="253" w:name="_Toc12789073"/>
      <w:bookmarkStart w:id="254" w:name="_Toc313888360"/>
      <w:bookmarkStart w:id="255" w:name="_Toc342913419"/>
      <w:bookmarkStart w:id="256" w:name="_Toc14244"/>
    </w:p>
    <w:p w14:paraId="14E4BA41">
      <w:pPr>
        <w:spacing w:line="360" w:lineRule="auto"/>
        <w:ind w:firstLine="480"/>
        <w:jc w:val="both"/>
        <w:rPr>
          <w:rFonts w:hint="eastAsia" w:ascii="仿宋" w:hAnsi="仿宋" w:eastAsia="仿宋" w:cs="仿宋"/>
          <w:color w:val="auto"/>
          <w:sz w:val="24"/>
          <w:szCs w:val="24"/>
          <w:lang w:eastAsia="zh-CN"/>
        </w:rPr>
      </w:pPr>
    </w:p>
    <w:p w14:paraId="25CA124D">
      <w:pPr>
        <w:spacing w:line="360" w:lineRule="auto"/>
        <w:ind w:firstLine="480"/>
        <w:jc w:val="both"/>
        <w:rPr>
          <w:rFonts w:hint="eastAsia" w:ascii="仿宋" w:hAnsi="仿宋" w:eastAsia="仿宋" w:cs="仿宋"/>
          <w:color w:val="auto"/>
          <w:sz w:val="24"/>
          <w:szCs w:val="24"/>
          <w:lang w:eastAsia="zh-CN"/>
        </w:rPr>
      </w:pPr>
    </w:p>
    <w:p w14:paraId="542CE0C6">
      <w:pPr>
        <w:spacing w:line="360" w:lineRule="auto"/>
        <w:ind w:firstLine="480"/>
        <w:jc w:val="both"/>
        <w:rPr>
          <w:rFonts w:hint="eastAsia" w:ascii="仿宋" w:hAnsi="仿宋" w:eastAsia="仿宋" w:cs="仿宋"/>
          <w:color w:val="auto"/>
          <w:sz w:val="24"/>
          <w:szCs w:val="24"/>
          <w:lang w:eastAsia="zh-CN"/>
        </w:rPr>
      </w:pPr>
    </w:p>
    <w:p w14:paraId="58B7ECBC">
      <w:pPr>
        <w:spacing w:line="360" w:lineRule="auto"/>
        <w:ind w:firstLine="480"/>
        <w:jc w:val="both"/>
        <w:rPr>
          <w:rFonts w:hint="eastAsia" w:ascii="仿宋" w:hAnsi="仿宋" w:eastAsia="仿宋" w:cs="仿宋"/>
          <w:color w:val="auto"/>
          <w:sz w:val="24"/>
          <w:szCs w:val="24"/>
          <w:lang w:eastAsia="zh-CN"/>
        </w:rPr>
      </w:pPr>
    </w:p>
    <w:p w14:paraId="2301DC37">
      <w:pPr>
        <w:spacing w:line="360" w:lineRule="auto"/>
        <w:ind w:firstLine="480"/>
        <w:jc w:val="both"/>
        <w:rPr>
          <w:rFonts w:hint="eastAsia" w:ascii="仿宋" w:hAnsi="仿宋" w:eastAsia="仿宋" w:cs="仿宋"/>
          <w:color w:val="auto"/>
          <w:sz w:val="24"/>
          <w:szCs w:val="24"/>
          <w:lang w:eastAsia="zh-CN"/>
        </w:rPr>
      </w:pPr>
    </w:p>
    <w:p w14:paraId="1969DD62">
      <w:pPr>
        <w:spacing w:line="360" w:lineRule="auto"/>
        <w:ind w:firstLine="480"/>
        <w:jc w:val="both"/>
        <w:rPr>
          <w:rFonts w:hint="eastAsia" w:ascii="仿宋" w:hAnsi="仿宋" w:eastAsia="仿宋" w:cs="仿宋"/>
          <w:color w:val="auto"/>
          <w:sz w:val="24"/>
          <w:szCs w:val="24"/>
          <w:lang w:eastAsia="zh-CN"/>
        </w:rPr>
      </w:pPr>
    </w:p>
    <w:p w14:paraId="0D5EC34F">
      <w:pPr>
        <w:spacing w:line="360" w:lineRule="auto"/>
        <w:ind w:firstLine="480"/>
        <w:jc w:val="both"/>
        <w:rPr>
          <w:rFonts w:hint="eastAsia" w:ascii="仿宋" w:hAnsi="仿宋" w:eastAsia="仿宋" w:cs="仿宋"/>
          <w:color w:val="auto"/>
          <w:sz w:val="24"/>
          <w:szCs w:val="24"/>
          <w:lang w:eastAsia="zh-CN"/>
        </w:rPr>
      </w:pPr>
    </w:p>
    <w:p w14:paraId="077764DA">
      <w:pPr>
        <w:spacing w:line="360" w:lineRule="auto"/>
        <w:ind w:firstLine="480"/>
        <w:jc w:val="both"/>
        <w:rPr>
          <w:rFonts w:hint="eastAsia" w:ascii="仿宋" w:hAnsi="仿宋" w:eastAsia="仿宋" w:cs="仿宋"/>
          <w:color w:val="auto"/>
          <w:sz w:val="24"/>
          <w:szCs w:val="24"/>
          <w:lang w:eastAsia="zh-CN"/>
        </w:rPr>
      </w:pPr>
    </w:p>
    <w:p w14:paraId="0A64A6B0">
      <w:pPr>
        <w:spacing w:line="360" w:lineRule="auto"/>
        <w:ind w:firstLine="480"/>
        <w:jc w:val="both"/>
        <w:rPr>
          <w:rFonts w:hint="eastAsia" w:ascii="仿宋" w:hAnsi="仿宋" w:eastAsia="仿宋" w:cs="仿宋"/>
          <w:color w:val="auto"/>
          <w:sz w:val="24"/>
          <w:szCs w:val="24"/>
          <w:lang w:eastAsia="zh-CN"/>
        </w:rPr>
      </w:pPr>
    </w:p>
    <w:p w14:paraId="525B56D9">
      <w:pPr>
        <w:spacing w:line="360" w:lineRule="auto"/>
        <w:ind w:firstLine="480"/>
        <w:jc w:val="both"/>
        <w:rPr>
          <w:rFonts w:hint="eastAsia" w:ascii="仿宋" w:hAnsi="仿宋" w:eastAsia="仿宋" w:cs="仿宋"/>
          <w:color w:val="auto"/>
          <w:sz w:val="24"/>
          <w:szCs w:val="24"/>
          <w:lang w:eastAsia="zh-CN"/>
        </w:rPr>
      </w:pPr>
    </w:p>
    <w:p w14:paraId="151FA36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一、经济部分</w:t>
      </w:r>
      <w:bookmarkEnd w:id="247"/>
      <w:bookmarkEnd w:id="248"/>
      <w:bookmarkEnd w:id="249"/>
      <w:bookmarkEnd w:id="250"/>
      <w:bookmarkEnd w:id="251"/>
      <w:bookmarkEnd w:id="252"/>
      <w:bookmarkEnd w:id="253"/>
      <w:bookmarkEnd w:id="254"/>
      <w:bookmarkEnd w:id="255"/>
      <w:bookmarkEnd w:id="256"/>
    </w:p>
    <w:p w14:paraId="79CCF88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（一）报价函</w:t>
      </w:r>
    </w:p>
    <w:p w14:paraId="4766C615">
      <w:pPr>
        <w:spacing w:line="360" w:lineRule="auto"/>
        <w:jc w:val="center"/>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lang w:eastAsia="zh-CN"/>
        </w:rPr>
        <w:t>报 价 函</w:t>
      </w:r>
    </w:p>
    <w:p w14:paraId="4CC9DD48">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（采购人名称）：</w:t>
      </w:r>
      <w:r>
        <w:rPr>
          <w:rFonts w:hint="eastAsia" w:ascii="仿宋" w:hAnsi="仿宋" w:eastAsia="仿宋" w:cs="仿宋"/>
          <w:color w:val="auto"/>
          <w:sz w:val="24"/>
          <w:szCs w:val="24"/>
          <w:u w:val="single"/>
          <w:lang w:eastAsia="zh-CN"/>
        </w:rPr>
        <w:t xml:space="preserve"> 重庆理工职业学院 </w:t>
      </w:r>
    </w:p>
    <w:p w14:paraId="773B023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我方收到____________________________（询价项目名称）的询价通知书，经详细研究，决定参加该询价项目的报价。</w:t>
      </w:r>
    </w:p>
    <w:p w14:paraId="2DD03FB6">
      <w:pPr>
        <w:numPr>
          <w:ilvl w:val="0"/>
          <w:numId w:val="2"/>
        </w:num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愿意按照询价通知书中的一切要求，提供本项目的交货及技术服务，项目报价（总价）为人民币大写：</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元整；人民币小写：</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元。</w:t>
      </w:r>
    </w:p>
    <w:p w14:paraId="2928F339">
      <w:pPr>
        <w:numPr>
          <w:ilvl w:val="0"/>
          <w:numId w:val="2"/>
        </w:num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2.我方现提交的响应文件为：响应文件正本</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份，副本</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份。</w:t>
      </w:r>
    </w:p>
    <w:p w14:paraId="23079DD6">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3.我方承诺：本次报价的有效期为提交响应文件截止时间起90天。</w:t>
      </w:r>
    </w:p>
    <w:p w14:paraId="763EE33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4.我方完全理解和接受贵方询价通知书的一切规定和要求及评审办法。</w:t>
      </w:r>
    </w:p>
    <w:p w14:paraId="659EE7C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5.在整个询价过程中，我方若有违规行为，接受按照《询价通知书》之规定给予惩罚。</w:t>
      </w:r>
    </w:p>
    <w:p w14:paraId="1C2FA0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6.我方若成为成交供应商，将按照最终报价结果签订合同，并且严格履行合同义务。本承诺函将成为合同不可分割的一部分，与合同具有同等的法律效力。</w:t>
      </w:r>
    </w:p>
    <w:p w14:paraId="6A287B3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7.我方同意按询价通知书规定，支付询价通知书要求的保证金。如果我方成为成交供应商，保证在接到成交通知书后，向采购人缴纳询价通知书规定的招标服务费。</w:t>
      </w:r>
    </w:p>
    <w:p w14:paraId="2E0B958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8.我方未为采购项目提供整体设计、规范编制或者项目管理、监理、检测等服务。</w:t>
      </w:r>
    </w:p>
    <w:p w14:paraId="0D73CD10">
      <w:pPr>
        <w:spacing w:line="360" w:lineRule="auto"/>
        <w:ind w:firstLine="480"/>
        <w:jc w:val="both"/>
        <w:rPr>
          <w:rFonts w:hint="eastAsia" w:ascii="仿宋" w:hAnsi="仿宋" w:eastAsia="仿宋" w:cs="仿宋"/>
          <w:color w:val="auto"/>
          <w:sz w:val="24"/>
          <w:szCs w:val="24"/>
          <w:lang w:eastAsia="zh-CN"/>
        </w:rPr>
      </w:pPr>
    </w:p>
    <w:p w14:paraId="2E8E85B4">
      <w:pPr>
        <w:spacing w:line="360" w:lineRule="auto"/>
        <w:ind w:firstLine="480"/>
        <w:jc w:val="both"/>
        <w:rPr>
          <w:rFonts w:hint="eastAsia" w:ascii="仿宋" w:hAnsi="仿宋" w:eastAsia="仿宋" w:cs="仿宋"/>
          <w:color w:val="auto"/>
          <w:sz w:val="24"/>
          <w:szCs w:val="24"/>
          <w:lang w:eastAsia="zh-CN"/>
        </w:rPr>
      </w:pPr>
    </w:p>
    <w:p w14:paraId="2CAC0848">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供应商（公章）或自然人签署：</w:t>
      </w:r>
      <w:r>
        <w:rPr>
          <w:rFonts w:hint="eastAsia" w:ascii="仿宋" w:hAnsi="仿宋" w:eastAsia="仿宋" w:cs="仿宋"/>
          <w:color w:val="auto"/>
          <w:sz w:val="24"/>
          <w:szCs w:val="24"/>
          <w:u w:val="single"/>
          <w:lang w:eastAsia="zh-CN"/>
        </w:rPr>
        <w:t xml:space="preserve">                 </w:t>
      </w:r>
    </w:p>
    <w:p w14:paraId="5EC68D5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w:t>
      </w:r>
      <w:r>
        <w:rPr>
          <w:rFonts w:hint="eastAsia" w:ascii="仿宋" w:hAnsi="仿宋" w:eastAsia="仿宋" w:cs="仿宋"/>
          <w:color w:val="auto"/>
          <w:sz w:val="24"/>
          <w:szCs w:val="24"/>
          <w:u w:val="single"/>
          <w:lang w:eastAsia="zh-CN"/>
        </w:rPr>
        <w:t xml:space="preserve">              </w:t>
      </w:r>
    </w:p>
    <w:p w14:paraId="022944FC">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传真：</w:t>
      </w:r>
      <w:r>
        <w:rPr>
          <w:rFonts w:hint="eastAsia" w:ascii="仿宋" w:hAnsi="仿宋" w:eastAsia="仿宋" w:cs="仿宋"/>
          <w:color w:val="auto"/>
          <w:sz w:val="24"/>
          <w:szCs w:val="24"/>
          <w:u w:val="single"/>
          <w:lang w:eastAsia="zh-CN"/>
        </w:rPr>
        <w:t xml:space="preserve">              </w:t>
      </w:r>
    </w:p>
    <w:p w14:paraId="04482D20">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网址：</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邮编：</w:t>
      </w:r>
      <w:r>
        <w:rPr>
          <w:rFonts w:hint="eastAsia" w:ascii="仿宋" w:hAnsi="仿宋" w:eastAsia="仿宋" w:cs="仿宋"/>
          <w:color w:val="auto"/>
          <w:sz w:val="24"/>
          <w:szCs w:val="24"/>
          <w:u w:val="single"/>
          <w:lang w:eastAsia="zh-CN"/>
        </w:rPr>
        <w:t xml:space="preserve">              </w:t>
      </w:r>
    </w:p>
    <w:p w14:paraId="5FF7D33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u w:val="single"/>
          <w:lang w:eastAsia="zh-CN"/>
        </w:rPr>
        <w:t xml:space="preserve">            </w:t>
      </w:r>
    </w:p>
    <w:p w14:paraId="416F6E84">
      <w:pPr>
        <w:spacing w:line="360" w:lineRule="auto"/>
        <w:ind w:firstLine="480"/>
        <w:jc w:val="both"/>
        <w:rPr>
          <w:rFonts w:hint="eastAsia" w:ascii="仿宋" w:hAnsi="仿宋" w:eastAsia="仿宋" w:cs="仿宋"/>
          <w:color w:val="auto"/>
          <w:sz w:val="24"/>
          <w:szCs w:val="24"/>
          <w:lang w:eastAsia="zh-CN"/>
        </w:rPr>
      </w:pPr>
    </w:p>
    <w:p w14:paraId="6AEFA4AD">
      <w:pPr>
        <w:spacing w:line="360" w:lineRule="auto"/>
        <w:ind w:firstLine="480"/>
        <w:jc w:val="right"/>
        <w:rPr>
          <w:rFonts w:hint="eastAsia" w:ascii="仿宋" w:hAnsi="仿宋" w:eastAsia="仿宋" w:cs="仿宋"/>
          <w:color w:val="auto"/>
          <w:sz w:val="24"/>
          <w:szCs w:val="24"/>
          <w:lang w:eastAsia="zh-CN"/>
        </w:rPr>
        <w:sectPr>
          <w:pgSz w:w="11907" w:h="16840"/>
          <w:pgMar w:top="1417" w:right="1417" w:bottom="1417" w:left="1417" w:header="851" w:footer="992" w:gutter="0"/>
          <w:pgNumType w:fmt="numberInDash"/>
          <w:cols w:space="720" w:num="1"/>
          <w:docGrid w:linePitch="380" w:charSpace="-5735"/>
        </w:sect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068D822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（二）明细报价表</w:t>
      </w:r>
    </w:p>
    <w:p w14:paraId="7DC7BF9A">
      <w:pPr>
        <w:spacing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已标价工程量清单</w:t>
      </w:r>
    </w:p>
    <w:tbl>
      <w:tblPr>
        <w:tblStyle w:val="17"/>
        <w:tblW w:w="9120" w:type="dxa"/>
        <w:tblInd w:w="250" w:type="dxa"/>
        <w:tblLayout w:type="autofit"/>
        <w:tblCellMar>
          <w:top w:w="0" w:type="dxa"/>
          <w:left w:w="108" w:type="dxa"/>
          <w:bottom w:w="0" w:type="dxa"/>
          <w:right w:w="108" w:type="dxa"/>
        </w:tblCellMar>
      </w:tblPr>
      <w:tblGrid>
        <w:gridCol w:w="765"/>
        <w:gridCol w:w="2235"/>
        <w:gridCol w:w="1065"/>
        <w:gridCol w:w="1125"/>
        <w:gridCol w:w="1365"/>
        <w:gridCol w:w="1365"/>
        <w:gridCol w:w="1200"/>
      </w:tblGrid>
      <w:tr w14:paraId="294F99F8">
        <w:tblPrEx>
          <w:tblCellMar>
            <w:top w:w="0" w:type="dxa"/>
            <w:left w:w="108" w:type="dxa"/>
            <w:bottom w:w="0" w:type="dxa"/>
            <w:right w:w="108" w:type="dxa"/>
          </w:tblCellMar>
        </w:tblPrEx>
        <w:trPr>
          <w:trHeight w:val="545" w:hRule="atLeast"/>
        </w:trPr>
        <w:tc>
          <w:tcPr>
            <w:tcW w:w="76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30E6D2E">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序号</w:t>
            </w:r>
          </w:p>
        </w:tc>
        <w:tc>
          <w:tcPr>
            <w:tcW w:w="22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7F6FD5">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项目名称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2F1E412">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计量单位</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C74808">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工程量</w:t>
            </w:r>
          </w:p>
        </w:tc>
        <w:tc>
          <w:tcPr>
            <w:tcW w:w="13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2304F0">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单价（元） </w:t>
            </w:r>
          </w:p>
        </w:tc>
        <w:tc>
          <w:tcPr>
            <w:tcW w:w="13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816792">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合价（元） </w:t>
            </w:r>
          </w:p>
        </w:tc>
        <w:tc>
          <w:tcPr>
            <w:tcW w:w="120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6F1398">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备注</w:t>
            </w:r>
          </w:p>
        </w:tc>
      </w:tr>
      <w:tr w14:paraId="0B2BDFA6">
        <w:tblPrEx>
          <w:tblCellMar>
            <w:top w:w="0" w:type="dxa"/>
            <w:left w:w="108" w:type="dxa"/>
            <w:bottom w:w="0" w:type="dxa"/>
            <w:right w:w="108" w:type="dxa"/>
          </w:tblCellMar>
        </w:tblPrEx>
        <w:trPr>
          <w:trHeight w:val="49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D27A5C">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0F43">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4</w:t>
            </w:r>
            <w:r>
              <w:rPr>
                <w:rFonts w:hint="eastAsia" w:ascii="宋体" w:hAnsi="宋体" w:eastAsia="宋体" w:cs="宋体"/>
                <w:sz w:val="20"/>
                <w:szCs w:val="20"/>
                <w:lang w:eastAsia="zh-CN" w:bidi="ar"/>
              </w:rPr>
              <w:t>人间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504A">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DD49">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229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80D">
            <w:pPr>
              <w:jc w:val="center"/>
              <w:textAlignment w:val="center"/>
              <w:rPr>
                <w:rFonts w:hint="eastAsia" w:ascii="宋体" w:hAns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CD8">
            <w:pPr>
              <w:jc w:val="center"/>
              <w:textAlignment w:val="center"/>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00AE4F">
            <w:pPr>
              <w:jc w:val="center"/>
              <w:rPr>
                <w:rFonts w:hint="eastAsia" w:ascii="宋体" w:hAnsi="宋体" w:eastAsia="宋体" w:cs="宋体"/>
                <w:sz w:val="20"/>
                <w:szCs w:val="20"/>
              </w:rPr>
            </w:pPr>
          </w:p>
        </w:tc>
      </w:tr>
      <w:tr w14:paraId="19C29BD1">
        <w:tblPrEx>
          <w:tblCellMar>
            <w:top w:w="0" w:type="dxa"/>
            <w:left w:w="108" w:type="dxa"/>
            <w:bottom w:w="0" w:type="dxa"/>
            <w:right w:w="108" w:type="dxa"/>
          </w:tblCellMar>
        </w:tblPrEx>
        <w:trPr>
          <w:trHeight w:val="425"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2F99B4">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634A">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6</w:t>
            </w:r>
            <w:r>
              <w:rPr>
                <w:rFonts w:hint="eastAsia" w:ascii="宋体" w:hAnsi="宋体" w:eastAsia="宋体" w:cs="宋体"/>
                <w:sz w:val="20"/>
                <w:szCs w:val="20"/>
                <w:lang w:eastAsia="zh-CN" w:bidi="ar"/>
              </w:rPr>
              <w:t>人间（</w:t>
            </w:r>
            <w:r>
              <w:rPr>
                <w:rFonts w:ascii="宋体" w:hAnsi="宋体" w:eastAsia="宋体" w:cs="宋体"/>
                <w:sz w:val="20"/>
                <w:szCs w:val="20"/>
                <w:lang w:eastAsia="zh-CN" w:bidi="ar"/>
              </w:rPr>
              <w:t>3</w:t>
            </w:r>
            <w:r>
              <w:rPr>
                <w:rFonts w:hint="eastAsia" w:ascii="宋体" w:hAnsi="宋体" w:eastAsia="宋体" w:cs="宋体"/>
                <w:sz w:val="20"/>
                <w:szCs w:val="20"/>
                <w:lang w:eastAsia="zh-CN" w:bidi="ar"/>
              </w:rPr>
              <w:t>层）卫生间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9A5">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A56B">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AF5F">
            <w:pPr>
              <w:jc w:val="center"/>
              <w:textAlignment w:val="center"/>
              <w:rPr>
                <w:rFonts w:hint="eastAsia" w:ascii="宋体" w:hAns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9D82">
            <w:pPr>
              <w:jc w:val="center"/>
              <w:textAlignment w:val="center"/>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C87CD">
            <w:pPr>
              <w:jc w:val="center"/>
              <w:rPr>
                <w:rFonts w:hint="eastAsia" w:ascii="宋体" w:hAnsi="宋体" w:eastAsia="宋体" w:cs="宋体"/>
                <w:sz w:val="20"/>
                <w:szCs w:val="20"/>
              </w:rPr>
            </w:pPr>
          </w:p>
        </w:tc>
      </w:tr>
      <w:tr w14:paraId="4FB93FC8">
        <w:tblPrEx>
          <w:tblCellMar>
            <w:top w:w="0" w:type="dxa"/>
            <w:left w:w="108" w:type="dxa"/>
            <w:bottom w:w="0" w:type="dxa"/>
            <w:right w:w="108" w:type="dxa"/>
          </w:tblCellMar>
        </w:tblPrEx>
        <w:trPr>
          <w:trHeight w:val="385"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E05A52">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DAE0">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过道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A1C">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9A1">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DF0">
            <w:pPr>
              <w:jc w:val="center"/>
              <w:textAlignment w:val="center"/>
              <w:rPr>
                <w:rFonts w:hint="eastAsia" w:ascii="宋体" w:hAns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61F8">
            <w:pPr>
              <w:jc w:val="center"/>
              <w:textAlignment w:val="center"/>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94282">
            <w:pPr>
              <w:jc w:val="center"/>
              <w:rPr>
                <w:rFonts w:hint="eastAsia" w:ascii="宋体" w:hAnsi="宋体" w:eastAsia="宋体" w:cs="宋体"/>
                <w:sz w:val="20"/>
                <w:szCs w:val="20"/>
              </w:rPr>
            </w:pPr>
          </w:p>
        </w:tc>
      </w:tr>
      <w:tr w14:paraId="64896A85">
        <w:tblPrEx>
          <w:tblCellMar>
            <w:top w:w="0" w:type="dxa"/>
            <w:left w:w="108" w:type="dxa"/>
            <w:bottom w:w="0" w:type="dxa"/>
            <w:right w:w="108" w:type="dxa"/>
          </w:tblCellMar>
        </w:tblPrEx>
        <w:trPr>
          <w:trHeight w:val="370" w:hRule="atLeast"/>
        </w:trPr>
        <w:tc>
          <w:tcPr>
            <w:tcW w:w="76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0AB3C">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CC87">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其它土建工程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2592">
            <w:pPr>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34C">
            <w:pPr>
              <w:jc w:val="center"/>
              <w:textAlignment w:val="center"/>
              <w:rPr>
                <w:rFonts w:hint="eastAsia" w:ascii="宋体" w:hAnsi="宋体" w:eastAsia="宋体" w:cs="宋体"/>
                <w:sz w:val="20"/>
                <w:szCs w:val="20"/>
                <w:lang w:eastAsia="zh-CN" w:bidi="ar"/>
              </w:rPr>
            </w:pPr>
            <w:r>
              <w:rPr>
                <w:rFonts w:ascii="宋体" w:hAnsi="宋体" w:eastAsia="宋体" w:cs="宋体"/>
                <w:sz w:val="20"/>
                <w:szCs w:val="20"/>
                <w:lang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52D5">
            <w:pPr>
              <w:jc w:val="center"/>
              <w:textAlignment w:val="center"/>
              <w:rPr>
                <w:rFonts w:hint="eastAsia" w:ascii="宋体" w:hAns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CF0">
            <w:pPr>
              <w:jc w:val="center"/>
              <w:textAlignment w:val="center"/>
              <w:rPr>
                <w:rFonts w:hint="eastAsia" w:ascii="宋体" w:hAnsi="宋体" w:eastAsia="宋体" w:cs="宋体"/>
                <w:sz w:val="20"/>
                <w:szCs w:val="20"/>
              </w:rPr>
            </w:pPr>
          </w:p>
        </w:tc>
        <w:tc>
          <w:tcPr>
            <w:tcW w:w="120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46C893">
            <w:pPr>
              <w:jc w:val="center"/>
              <w:rPr>
                <w:rFonts w:hint="eastAsia" w:ascii="宋体" w:hAnsi="宋体" w:eastAsia="宋体" w:cs="宋体"/>
                <w:sz w:val="20"/>
                <w:szCs w:val="20"/>
              </w:rPr>
            </w:pPr>
          </w:p>
        </w:tc>
      </w:tr>
      <w:tr w14:paraId="145B883B">
        <w:tblPrEx>
          <w:tblCellMar>
            <w:top w:w="0" w:type="dxa"/>
            <w:left w:w="108" w:type="dxa"/>
            <w:bottom w:w="0" w:type="dxa"/>
            <w:right w:w="108" w:type="dxa"/>
          </w:tblCellMar>
        </w:tblPrEx>
        <w:trPr>
          <w:trHeight w:val="360" w:hRule="atLeast"/>
        </w:trPr>
        <w:tc>
          <w:tcPr>
            <w:tcW w:w="300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877185F">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合        计</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EECD26">
            <w:pPr>
              <w:jc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  </w:t>
            </w:r>
          </w:p>
        </w:tc>
        <w:tc>
          <w:tcPr>
            <w:tcW w:w="112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3412670">
            <w:pPr>
              <w:jc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 </w:t>
            </w:r>
          </w:p>
        </w:tc>
        <w:tc>
          <w:tcPr>
            <w:tcW w:w="13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6C6570">
            <w:pPr>
              <w:jc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 </w:t>
            </w:r>
          </w:p>
        </w:tc>
        <w:tc>
          <w:tcPr>
            <w:tcW w:w="13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A7C4FDA">
            <w:pPr>
              <w:jc w:val="center"/>
              <w:textAlignment w:val="center"/>
              <w:rPr>
                <w:rFonts w:hint="eastAsia" w:ascii="宋体" w:hAnsi="宋体" w:eastAsia="宋体" w:cs="宋体"/>
                <w:sz w:val="20"/>
                <w:szCs w:val="20"/>
              </w:rPr>
            </w:pPr>
            <w:r>
              <w:rPr>
                <w:rFonts w:hint="eastAsia" w:ascii="宋体" w:hAnsi="宋体" w:eastAsia="宋体" w:cs="宋体"/>
                <w:sz w:val="20"/>
                <w:szCs w:val="20"/>
                <w:lang w:eastAsia="zh-CN" w:bidi="ar"/>
              </w:rPr>
              <w:t xml:space="preserve">  </w:t>
            </w:r>
          </w:p>
        </w:tc>
        <w:tc>
          <w:tcPr>
            <w:tcW w:w="120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E105A0D">
            <w:pPr>
              <w:jc w:val="center"/>
              <w:rPr>
                <w:rFonts w:hint="eastAsia" w:ascii="宋体" w:hAnsi="宋体" w:eastAsia="宋体" w:cs="宋体"/>
                <w:sz w:val="20"/>
                <w:szCs w:val="20"/>
              </w:rPr>
            </w:pPr>
          </w:p>
        </w:tc>
      </w:tr>
    </w:tbl>
    <w:p w14:paraId="1685FB4E">
      <w:pPr>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注：</w:t>
      </w:r>
    </w:p>
    <w:p w14:paraId="2D0697D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1.供应商应完整填写本表。</w:t>
      </w:r>
    </w:p>
    <w:p w14:paraId="70FB9E9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2.本表可扩展</w:t>
      </w:r>
      <w:bookmarkStart w:id="257" w:name="OLE_LINK2"/>
      <w:bookmarkStart w:id="258" w:name="OLE_LINK1"/>
      <w:r>
        <w:rPr>
          <w:rFonts w:hint="eastAsia" w:ascii="仿宋" w:hAnsi="仿宋" w:eastAsia="仿宋" w:cs="仿宋"/>
          <w:color w:val="auto"/>
          <w:sz w:val="24"/>
          <w:szCs w:val="24"/>
          <w:lang w:eastAsia="zh-CN"/>
        </w:rPr>
        <w:t>。</w:t>
      </w:r>
      <w:bookmarkEnd w:id="257"/>
      <w:bookmarkEnd w:id="258"/>
    </w:p>
    <w:p w14:paraId="7FFF18DB">
      <w:pPr>
        <w:spacing w:line="360" w:lineRule="auto"/>
        <w:ind w:firstLine="480"/>
        <w:jc w:val="both"/>
        <w:rPr>
          <w:rFonts w:hint="eastAsia" w:ascii="仿宋" w:hAnsi="仿宋" w:eastAsia="仿宋" w:cs="仿宋"/>
          <w:color w:val="auto"/>
          <w:sz w:val="24"/>
          <w:szCs w:val="24"/>
          <w:lang w:eastAsia="zh-CN"/>
        </w:rPr>
      </w:pPr>
    </w:p>
    <w:p w14:paraId="7869973F">
      <w:pPr>
        <w:spacing w:line="360" w:lineRule="auto"/>
        <w:ind w:firstLine="480"/>
        <w:jc w:val="both"/>
        <w:rPr>
          <w:rFonts w:hint="eastAsia" w:ascii="仿宋" w:hAnsi="仿宋" w:eastAsia="仿宋" w:cs="仿宋"/>
          <w:color w:val="auto"/>
          <w:sz w:val="24"/>
          <w:szCs w:val="24"/>
          <w:lang w:eastAsia="zh-CN"/>
        </w:rPr>
      </w:pPr>
    </w:p>
    <w:p w14:paraId="05DC3850">
      <w:pPr>
        <w:spacing w:line="360" w:lineRule="auto"/>
        <w:ind w:firstLine="480"/>
        <w:jc w:val="both"/>
        <w:rPr>
          <w:rFonts w:hint="eastAsia" w:ascii="仿宋" w:hAnsi="仿宋" w:eastAsia="仿宋" w:cs="仿宋"/>
          <w:color w:val="auto"/>
          <w:sz w:val="24"/>
          <w:szCs w:val="24"/>
          <w:u w:val="single"/>
          <w:lang w:eastAsia="zh-CN"/>
        </w:rPr>
      </w:pPr>
      <w:bookmarkStart w:id="259" w:name="_Toc65660380"/>
      <w:bookmarkStart w:id="260" w:name="_Toc313008357"/>
      <w:bookmarkStart w:id="261" w:name="_Toc342913420"/>
      <w:bookmarkStart w:id="262" w:name="_Toc22655"/>
      <w:bookmarkStart w:id="263" w:name="_Toc313888361"/>
      <w:bookmarkStart w:id="264" w:name="_Toc14073"/>
      <w:bookmarkStart w:id="265" w:name="_Toc106034809"/>
      <w:bookmarkStart w:id="266" w:name="_Toc26085"/>
      <w:r>
        <w:rPr>
          <w:rFonts w:hint="eastAsia" w:ascii="仿宋" w:hAnsi="仿宋" w:eastAsia="仿宋" w:cs="仿宋"/>
          <w:color w:val="auto"/>
          <w:sz w:val="24"/>
          <w:szCs w:val="24"/>
          <w:lang w:eastAsia="zh-CN"/>
        </w:rPr>
        <w:t>供应商（公章）或自然人签署：</w:t>
      </w:r>
      <w:r>
        <w:rPr>
          <w:rFonts w:hint="eastAsia" w:ascii="仿宋" w:hAnsi="仿宋" w:eastAsia="仿宋" w:cs="仿宋"/>
          <w:color w:val="auto"/>
          <w:sz w:val="24"/>
          <w:szCs w:val="24"/>
          <w:u w:val="single"/>
          <w:lang w:eastAsia="zh-CN"/>
        </w:rPr>
        <w:t xml:space="preserve">                 </w:t>
      </w:r>
    </w:p>
    <w:p w14:paraId="6C69023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w:t>
      </w:r>
      <w:r>
        <w:rPr>
          <w:rFonts w:hint="eastAsia" w:ascii="仿宋" w:hAnsi="仿宋" w:eastAsia="仿宋" w:cs="仿宋"/>
          <w:color w:val="auto"/>
          <w:sz w:val="24"/>
          <w:szCs w:val="24"/>
          <w:u w:val="single"/>
          <w:lang w:eastAsia="zh-CN"/>
        </w:rPr>
        <w:t xml:space="preserve">              </w:t>
      </w:r>
    </w:p>
    <w:p w14:paraId="1387F2AC">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传真：</w:t>
      </w:r>
      <w:r>
        <w:rPr>
          <w:rFonts w:hint="eastAsia" w:ascii="仿宋" w:hAnsi="仿宋" w:eastAsia="仿宋" w:cs="仿宋"/>
          <w:color w:val="auto"/>
          <w:sz w:val="24"/>
          <w:szCs w:val="24"/>
          <w:u w:val="single"/>
          <w:lang w:eastAsia="zh-CN"/>
        </w:rPr>
        <w:t xml:space="preserve">              </w:t>
      </w:r>
    </w:p>
    <w:p w14:paraId="6175648F">
      <w:pPr>
        <w:spacing w:line="360" w:lineRule="auto"/>
        <w:ind w:firstLine="480"/>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网址：</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邮编：</w:t>
      </w:r>
      <w:r>
        <w:rPr>
          <w:rFonts w:hint="eastAsia" w:ascii="仿宋" w:hAnsi="仿宋" w:eastAsia="仿宋" w:cs="仿宋"/>
          <w:color w:val="auto"/>
          <w:sz w:val="24"/>
          <w:szCs w:val="24"/>
          <w:u w:val="single"/>
          <w:lang w:eastAsia="zh-CN"/>
        </w:rPr>
        <w:t xml:space="preserve">              </w:t>
      </w:r>
    </w:p>
    <w:p w14:paraId="6F9FA50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u w:val="single"/>
          <w:lang w:eastAsia="zh-CN"/>
        </w:rPr>
        <w:t xml:space="preserve">            </w:t>
      </w:r>
    </w:p>
    <w:p w14:paraId="5A89F625">
      <w:pPr>
        <w:spacing w:line="360" w:lineRule="auto"/>
        <w:ind w:firstLine="480"/>
        <w:jc w:val="both"/>
        <w:rPr>
          <w:rFonts w:hint="eastAsia" w:ascii="仿宋" w:hAnsi="仿宋" w:eastAsia="仿宋" w:cs="仿宋"/>
          <w:color w:val="auto"/>
          <w:sz w:val="24"/>
          <w:szCs w:val="24"/>
          <w:lang w:eastAsia="zh-CN"/>
        </w:rPr>
      </w:pPr>
    </w:p>
    <w:p w14:paraId="79B4E119">
      <w:pPr>
        <w:spacing w:line="360" w:lineRule="auto"/>
        <w:ind w:firstLine="480"/>
        <w:jc w:val="right"/>
        <w:rPr>
          <w:rFonts w:hint="eastAsia" w:ascii="仿宋" w:hAnsi="仿宋" w:eastAsia="仿宋" w:cs="仿宋"/>
          <w:color w:val="auto"/>
          <w:sz w:val="24"/>
          <w:szCs w:val="24"/>
          <w:lang w:eastAsia="zh-CN"/>
        </w:rPr>
        <w:sectPr>
          <w:pgSz w:w="11907" w:h="16840"/>
          <w:pgMar w:top="1417" w:right="1417" w:bottom="1417" w:left="1417" w:header="851" w:footer="992" w:gutter="0"/>
          <w:pgNumType w:fmt="numberInDash"/>
          <w:cols w:space="720" w:num="1"/>
          <w:docGrid w:linePitch="380" w:charSpace="-5735"/>
        </w:sect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2B2C7F5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二、技术需求部分</w:t>
      </w:r>
      <w:bookmarkEnd w:id="259"/>
      <w:bookmarkEnd w:id="260"/>
      <w:bookmarkEnd w:id="261"/>
      <w:bookmarkEnd w:id="262"/>
      <w:bookmarkEnd w:id="263"/>
      <w:bookmarkEnd w:id="264"/>
      <w:bookmarkEnd w:id="265"/>
      <w:bookmarkEnd w:id="266"/>
    </w:p>
    <w:p w14:paraId="651EA8E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（一）技术需求响应偏离表</w:t>
      </w:r>
    </w:p>
    <w:p w14:paraId="6441FCB5">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项目号：</w:t>
      </w:r>
    </w:p>
    <w:p w14:paraId="52888957">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询价项目名称：</w:t>
      </w:r>
    </w:p>
    <w:tbl>
      <w:tblPr>
        <w:tblStyle w:val="17"/>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669"/>
        <w:gridCol w:w="2669"/>
        <w:gridCol w:w="2670"/>
      </w:tblGrid>
      <w:tr w14:paraId="1124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9" w:type="dxa"/>
            <w:vAlign w:val="center"/>
          </w:tcPr>
          <w:p w14:paraId="5B09A36C">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69" w:type="dxa"/>
            <w:vAlign w:val="center"/>
          </w:tcPr>
          <w:p w14:paraId="1BCF57C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tc>
        <w:tc>
          <w:tcPr>
            <w:tcW w:w="2669" w:type="dxa"/>
            <w:vAlign w:val="center"/>
          </w:tcPr>
          <w:p w14:paraId="7C6641B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670" w:type="dxa"/>
            <w:vAlign w:val="center"/>
          </w:tcPr>
          <w:p w14:paraId="79F3983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3EC2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39BBFBC2">
            <w:pPr>
              <w:spacing w:line="360" w:lineRule="auto"/>
              <w:jc w:val="both"/>
              <w:rPr>
                <w:rFonts w:hint="eastAsia" w:ascii="仿宋" w:hAnsi="仿宋" w:eastAsia="仿宋" w:cs="仿宋"/>
                <w:color w:val="auto"/>
                <w:sz w:val="24"/>
                <w:szCs w:val="24"/>
              </w:rPr>
            </w:pPr>
          </w:p>
        </w:tc>
        <w:tc>
          <w:tcPr>
            <w:tcW w:w="2669" w:type="dxa"/>
            <w:vAlign w:val="center"/>
          </w:tcPr>
          <w:p w14:paraId="7BB61ACA">
            <w:pPr>
              <w:spacing w:line="360" w:lineRule="auto"/>
              <w:jc w:val="both"/>
              <w:rPr>
                <w:rFonts w:hint="eastAsia" w:ascii="仿宋" w:hAnsi="仿宋" w:eastAsia="仿宋" w:cs="仿宋"/>
                <w:color w:val="auto"/>
                <w:sz w:val="24"/>
                <w:szCs w:val="24"/>
              </w:rPr>
            </w:pPr>
          </w:p>
        </w:tc>
        <w:tc>
          <w:tcPr>
            <w:tcW w:w="2669" w:type="dxa"/>
            <w:vAlign w:val="center"/>
          </w:tcPr>
          <w:p w14:paraId="142EA502">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提醒：请注明技术参数或具体内容以及响应文件中技术参数或具体内容的位置（页码）</w:t>
            </w:r>
          </w:p>
        </w:tc>
        <w:tc>
          <w:tcPr>
            <w:tcW w:w="2670" w:type="dxa"/>
            <w:vAlign w:val="center"/>
          </w:tcPr>
          <w:p w14:paraId="5C7CE74F">
            <w:pPr>
              <w:spacing w:line="360" w:lineRule="auto"/>
              <w:jc w:val="both"/>
              <w:rPr>
                <w:rFonts w:hint="eastAsia" w:ascii="仿宋" w:hAnsi="仿宋" w:eastAsia="仿宋" w:cs="仿宋"/>
                <w:color w:val="auto"/>
                <w:sz w:val="24"/>
                <w:szCs w:val="24"/>
                <w:lang w:eastAsia="zh-CN"/>
              </w:rPr>
            </w:pPr>
          </w:p>
        </w:tc>
      </w:tr>
      <w:tr w14:paraId="0151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4F7EB922">
            <w:pPr>
              <w:spacing w:line="360" w:lineRule="auto"/>
              <w:jc w:val="both"/>
              <w:rPr>
                <w:rFonts w:hint="eastAsia" w:ascii="仿宋" w:hAnsi="仿宋" w:eastAsia="仿宋" w:cs="仿宋"/>
                <w:color w:val="auto"/>
                <w:sz w:val="24"/>
                <w:szCs w:val="24"/>
                <w:lang w:eastAsia="zh-CN"/>
              </w:rPr>
            </w:pPr>
          </w:p>
        </w:tc>
        <w:tc>
          <w:tcPr>
            <w:tcW w:w="2669" w:type="dxa"/>
            <w:vAlign w:val="center"/>
          </w:tcPr>
          <w:p w14:paraId="4B9136DA">
            <w:pPr>
              <w:spacing w:line="360" w:lineRule="auto"/>
              <w:jc w:val="both"/>
              <w:rPr>
                <w:rFonts w:hint="eastAsia" w:ascii="仿宋" w:hAnsi="仿宋" w:eastAsia="仿宋" w:cs="仿宋"/>
                <w:color w:val="auto"/>
                <w:sz w:val="24"/>
                <w:szCs w:val="24"/>
                <w:lang w:eastAsia="zh-CN"/>
              </w:rPr>
            </w:pPr>
          </w:p>
        </w:tc>
        <w:tc>
          <w:tcPr>
            <w:tcW w:w="2669" w:type="dxa"/>
            <w:vAlign w:val="center"/>
          </w:tcPr>
          <w:p w14:paraId="1CF21972">
            <w:pPr>
              <w:spacing w:line="360" w:lineRule="auto"/>
              <w:jc w:val="both"/>
              <w:rPr>
                <w:rFonts w:hint="eastAsia" w:ascii="仿宋" w:hAnsi="仿宋" w:eastAsia="仿宋" w:cs="仿宋"/>
                <w:color w:val="auto"/>
                <w:sz w:val="24"/>
                <w:szCs w:val="24"/>
                <w:lang w:eastAsia="zh-CN"/>
              </w:rPr>
            </w:pPr>
          </w:p>
        </w:tc>
        <w:tc>
          <w:tcPr>
            <w:tcW w:w="2670" w:type="dxa"/>
            <w:vAlign w:val="center"/>
          </w:tcPr>
          <w:p w14:paraId="0EC6F280">
            <w:pPr>
              <w:spacing w:line="360" w:lineRule="auto"/>
              <w:jc w:val="both"/>
              <w:rPr>
                <w:rFonts w:hint="eastAsia" w:ascii="仿宋" w:hAnsi="仿宋" w:eastAsia="仿宋" w:cs="仿宋"/>
                <w:color w:val="auto"/>
                <w:sz w:val="24"/>
                <w:szCs w:val="24"/>
                <w:lang w:eastAsia="zh-CN"/>
              </w:rPr>
            </w:pPr>
          </w:p>
        </w:tc>
      </w:tr>
      <w:tr w14:paraId="485B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3889D8D3">
            <w:pPr>
              <w:spacing w:line="360" w:lineRule="auto"/>
              <w:jc w:val="both"/>
              <w:rPr>
                <w:rFonts w:hint="eastAsia" w:ascii="仿宋" w:hAnsi="仿宋" w:eastAsia="仿宋" w:cs="仿宋"/>
                <w:color w:val="auto"/>
                <w:sz w:val="24"/>
                <w:szCs w:val="24"/>
                <w:lang w:eastAsia="zh-CN"/>
              </w:rPr>
            </w:pPr>
          </w:p>
        </w:tc>
        <w:tc>
          <w:tcPr>
            <w:tcW w:w="2669" w:type="dxa"/>
            <w:vAlign w:val="center"/>
          </w:tcPr>
          <w:p w14:paraId="1B4FD8D1">
            <w:pPr>
              <w:spacing w:line="360" w:lineRule="auto"/>
              <w:jc w:val="both"/>
              <w:rPr>
                <w:rFonts w:hint="eastAsia" w:ascii="仿宋" w:hAnsi="仿宋" w:eastAsia="仿宋" w:cs="仿宋"/>
                <w:color w:val="auto"/>
                <w:sz w:val="24"/>
                <w:szCs w:val="24"/>
                <w:lang w:eastAsia="zh-CN"/>
              </w:rPr>
            </w:pPr>
          </w:p>
        </w:tc>
        <w:tc>
          <w:tcPr>
            <w:tcW w:w="2669" w:type="dxa"/>
            <w:vAlign w:val="center"/>
          </w:tcPr>
          <w:p w14:paraId="613D97C6">
            <w:pPr>
              <w:spacing w:line="360" w:lineRule="auto"/>
              <w:jc w:val="both"/>
              <w:rPr>
                <w:rFonts w:hint="eastAsia" w:ascii="仿宋" w:hAnsi="仿宋" w:eastAsia="仿宋" w:cs="仿宋"/>
                <w:color w:val="auto"/>
                <w:sz w:val="24"/>
                <w:szCs w:val="24"/>
                <w:lang w:eastAsia="zh-CN"/>
              </w:rPr>
            </w:pPr>
          </w:p>
        </w:tc>
        <w:tc>
          <w:tcPr>
            <w:tcW w:w="2670" w:type="dxa"/>
            <w:vAlign w:val="center"/>
          </w:tcPr>
          <w:p w14:paraId="12F47C92">
            <w:pPr>
              <w:spacing w:line="360" w:lineRule="auto"/>
              <w:jc w:val="both"/>
              <w:rPr>
                <w:rFonts w:hint="eastAsia" w:ascii="仿宋" w:hAnsi="仿宋" w:eastAsia="仿宋" w:cs="仿宋"/>
                <w:color w:val="auto"/>
                <w:sz w:val="24"/>
                <w:szCs w:val="24"/>
                <w:lang w:eastAsia="zh-CN"/>
              </w:rPr>
            </w:pPr>
          </w:p>
        </w:tc>
      </w:tr>
      <w:tr w14:paraId="2402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7F2C6DFB">
            <w:pPr>
              <w:spacing w:line="360" w:lineRule="auto"/>
              <w:jc w:val="both"/>
              <w:rPr>
                <w:rFonts w:hint="eastAsia" w:ascii="仿宋" w:hAnsi="仿宋" w:eastAsia="仿宋" w:cs="仿宋"/>
                <w:color w:val="auto"/>
                <w:sz w:val="24"/>
                <w:szCs w:val="24"/>
                <w:lang w:eastAsia="zh-CN"/>
              </w:rPr>
            </w:pPr>
          </w:p>
        </w:tc>
        <w:tc>
          <w:tcPr>
            <w:tcW w:w="2669" w:type="dxa"/>
            <w:vAlign w:val="center"/>
          </w:tcPr>
          <w:p w14:paraId="668442AC">
            <w:pPr>
              <w:spacing w:line="360" w:lineRule="auto"/>
              <w:jc w:val="both"/>
              <w:rPr>
                <w:rFonts w:hint="eastAsia" w:ascii="仿宋" w:hAnsi="仿宋" w:eastAsia="仿宋" w:cs="仿宋"/>
                <w:color w:val="auto"/>
                <w:sz w:val="24"/>
                <w:szCs w:val="24"/>
                <w:lang w:eastAsia="zh-CN"/>
              </w:rPr>
            </w:pPr>
          </w:p>
        </w:tc>
        <w:tc>
          <w:tcPr>
            <w:tcW w:w="2669" w:type="dxa"/>
            <w:vAlign w:val="center"/>
          </w:tcPr>
          <w:p w14:paraId="7AFEB080">
            <w:pPr>
              <w:spacing w:line="360" w:lineRule="auto"/>
              <w:jc w:val="both"/>
              <w:rPr>
                <w:rFonts w:hint="eastAsia" w:ascii="仿宋" w:hAnsi="仿宋" w:eastAsia="仿宋" w:cs="仿宋"/>
                <w:color w:val="auto"/>
                <w:sz w:val="24"/>
                <w:szCs w:val="24"/>
                <w:lang w:eastAsia="zh-CN"/>
              </w:rPr>
            </w:pPr>
          </w:p>
        </w:tc>
        <w:tc>
          <w:tcPr>
            <w:tcW w:w="2670" w:type="dxa"/>
            <w:vAlign w:val="center"/>
          </w:tcPr>
          <w:p w14:paraId="17C60D8C">
            <w:pPr>
              <w:spacing w:line="360" w:lineRule="auto"/>
              <w:jc w:val="both"/>
              <w:rPr>
                <w:rFonts w:hint="eastAsia" w:ascii="仿宋" w:hAnsi="仿宋" w:eastAsia="仿宋" w:cs="仿宋"/>
                <w:color w:val="auto"/>
                <w:sz w:val="24"/>
                <w:szCs w:val="24"/>
                <w:lang w:eastAsia="zh-CN"/>
              </w:rPr>
            </w:pPr>
          </w:p>
        </w:tc>
      </w:tr>
      <w:tr w14:paraId="51DE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0C6292FC">
            <w:pPr>
              <w:spacing w:line="360" w:lineRule="auto"/>
              <w:jc w:val="both"/>
              <w:rPr>
                <w:rFonts w:hint="eastAsia" w:ascii="仿宋" w:hAnsi="仿宋" w:eastAsia="仿宋" w:cs="仿宋"/>
                <w:color w:val="auto"/>
                <w:sz w:val="24"/>
                <w:szCs w:val="24"/>
                <w:lang w:eastAsia="zh-CN"/>
              </w:rPr>
            </w:pPr>
          </w:p>
        </w:tc>
        <w:tc>
          <w:tcPr>
            <w:tcW w:w="2669" w:type="dxa"/>
            <w:vAlign w:val="center"/>
          </w:tcPr>
          <w:p w14:paraId="3CAD8A77">
            <w:pPr>
              <w:spacing w:line="360" w:lineRule="auto"/>
              <w:jc w:val="both"/>
              <w:rPr>
                <w:rFonts w:hint="eastAsia" w:ascii="仿宋" w:hAnsi="仿宋" w:eastAsia="仿宋" w:cs="仿宋"/>
                <w:color w:val="auto"/>
                <w:sz w:val="24"/>
                <w:szCs w:val="24"/>
                <w:lang w:eastAsia="zh-CN"/>
              </w:rPr>
            </w:pPr>
          </w:p>
        </w:tc>
        <w:tc>
          <w:tcPr>
            <w:tcW w:w="2669" w:type="dxa"/>
            <w:vAlign w:val="center"/>
          </w:tcPr>
          <w:p w14:paraId="68A5C48E">
            <w:pPr>
              <w:spacing w:line="360" w:lineRule="auto"/>
              <w:jc w:val="both"/>
              <w:rPr>
                <w:rFonts w:hint="eastAsia" w:ascii="仿宋" w:hAnsi="仿宋" w:eastAsia="仿宋" w:cs="仿宋"/>
                <w:color w:val="auto"/>
                <w:sz w:val="24"/>
                <w:szCs w:val="24"/>
                <w:lang w:eastAsia="zh-CN"/>
              </w:rPr>
            </w:pPr>
          </w:p>
        </w:tc>
        <w:tc>
          <w:tcPr>
            <w:tcW w:w="2670" w:type="dxa"/>
            <w:vAlign w:val="center"/>
          </w:tcPr>
          <w:p w14:paraId="3A7266CF">
            <w:pPr>
              <w:spacing w:line="360" w:lineRule="auto"/>
              <w:jc w:val="both"/>
              <w:rPr>
                <w:rFonts w:hint="eastAsia" w:ascii="仿宋" w:hAnsi="仿宋" w:eastAsia="仿宋" w:cs="仿宋"/>
                <w:color w:val="auto"/>
                <w:sz w:val="24"/>
                <w:szCs w:val="24"/>
                <w:lang w:eastAsia="zh-CN"/>
              </w:rPr>
            </w:pPr>
          </w:p>
        </w:tc>
      </w:tr>
      <w:tr w14:paraId="0ED5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6FCE0F16">
            <w:pPr>
              <w:spacing w:line="360" w:lineRule="auto"/>
              <w:jc w:val="both"/>
              <w:rPr>
                <w:rFonts w:hint="eastAsia" w:ascii="仿宋" w:hAnsi="仿宋" w:eastAsia="仿宋" w:cs="仿宋"/>
                <w:color w:val="auto"/>
                <w:sz w:val="24"/>
                <w:szCs w:val="24"/>
                <w:lang w:eastAsia="zh-CN"/>
              </w:rPr>
            </w:pPr>
          </w:p>
        </w:tc>
        <w:tc>
          <w:tcPr>
            <w:tcW w:w="2669" w:type="dxa"/>
            <w:vAlign w:val="center"/>
          </w:tcPr>
          <w:p w14:paraId="4F25BDC5">
            <w:pPr>
              <w:spacing w:line="360" w:lineRule="auto"/>
              <w:jc w:val="both"/>
              <w:rPr>
                <w:rFonts w:hint="eastAsia" w:ascii="仿宋" w:hAnsi="仿宋" w:eastAsia="仿宋" w:cs="仿宋"/>
                <w:color w:val="auto"/>
                <w:sz w:val="24"/>
                <w:szCs w:val="24"/>
                <w:lang w:eastAsia="zh-CN"/>
              </w:rPr>
            </w:pPr>
          </w:p>
        </w:tc>
        <w:tc>
          <w:tcPr>
            <w:tcW w:w="2669" w:type="dxa"/>
            <w:vAlign w:val="center"/>
          </w:tcPr>
          <w:p w14:paraId="75EE154A">
            <w:pPr>
              <w:spacing w:line="360" w:lineRule="auto"/>
              <w:jc w:val="both"/>
              <w:rPr>
                <w:rFonts w:hint="eastAsia" w:ascii="仿宋" w:hAnsi="仿宋" w:eastAsia="仿宋" w:cs="仿宋"/>
                <w:color w:val="auto"/>
                <w:sz w:val="24"/>
                <w:szCs w:val="24"/>
                <w:lang w:eastAsia="zh-CN"/>
              </w:rPr>
            </w:pPr>
          </w:p>
        </w:tc>
        <w:tc>
          <w:tcPr>
            <w:tcW w:w="2670" w:type="dxa"/>
            <w:vAlign w:val="center"/>
          </w:tcPr>
          <w:p w14:paraId="49B3B935">
            <w:pPr>
              <w:spacing w:line="360" w:lineRule="auto"/>
              <w:jc w:val="both"/>
              <w:rPr>
                <w:rFonts w:hint="eastAsia" w:ascii="仿宋" w:hAnsi="仿宋" w:eastAsia="仿宋" w:cs="仿宋"/>
                <w:color w:val="auto"/>
                <w:sz w:val="24"/>
                <w:szCs w:val="24"/>
                <w:lang w:eastAsia="zh-CN"/>
              </w:rPr>
            </w:pPr>
          </w:p>
        </w:tc>
      </w:tr>
      <w:tr w14:paraId="5663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1F684840">
            <w:pPr>
              <w:spacing w:line="360" w:lineRule="auto"/>
              <w:jc w:val="both"/>
              <w:rPr>
                <w:rFonts w:hint="eastAsia" w:ascii="仿宋" w:hAnsi="仿宋" w:eastAsia="仿宋" w:cs="仿宋"/>
                <w:color w:val="auto"/>
                <w:sz w:val="24"/>
                <w:szCs w:val="24"/>
                <w:lang w:eastAsia="zh-CN"/>
              </w:rPr>
            </w:pPr>
          </w:p>
        </w:tc>
        <w:tc>
          <w:tcPr>
            <w:tcW w:w="2669" w:type="dxa"/>
            <w:vAlign w:val="center"/>
          </w:tcPr>
          <w:p w14:paraId="7EA88AD9">
            <w:pPr>
              <w:spacing w:line="360" w:lineRule="auto"/>
              <w:jc w:val="both"/>
              <w:rPr>
                <w:rFonts w:hint="eastAsia" w:ascii="仿宋" w:hAnsi="仿宋" w:eastAsia="仿宋" w:cs="仿宋"/>
                <w:color w:val="auto"/>
                <w:sz w:val="24"/>
                <w:szCs w:val="24"/>
                <w:lang w:eastAsia="zh-CN"/>
              </w:rPr>
            </w:pPr>
          </w:p>
        </w:tc>
        <w:tc>
          <w:tcPr>
            <w:tcW w:w="2669" w:type="dxa"/>
            <w:vAlign w:val="center"/>
          </w:tcPr>
          <w:p w14:paraId="22E3B19A">
            <w:pPr>
              <w:spacing w:line="360" w:lineRule="auto"/>
              <w:jc w:val="both"/>
              <w:rPr>
                <w:rFonts w:hint="eastAsia" w:ascii="仿宋" w:hAnsi="仿宋" w:eastAsia="仿宋" w:cs="仿宋"/>
                <w:color w:val="auto"/>
                <w:sz w:val="24"/>
                <w:szCs w:val="24"/>
                <w:lang w:eastAsia="zh-CN"/>
              </w:rPr>
            </w:pPr>
          </w:p>
        </w:tc>
        <w:tc>
          <w:tcPr>
            <w:tcW w:w="2670" w:type="dxa"/>
            <w:vAlign w:val="center"/>
          </w:tcPr>
          <w:p w14:paraId="142123B6">
            <w:pPr>
              <w:spacing w:line="360" w:lineRule="auto"/>
              <w:jc w:val="both"/>
              <w:rPr>
                <w:rFonts w:hint="eastAsia" w:ascii="仿宋" w:hAnsi="仿宋" w:eastAsia="仿宋" w:cs="仿宋"/>
                <w:color w:val="auto"/>
                <w:sz w:val="24"/>
                <w:szCs w:val="24"/>
                <w:lang w:eastAsia="zh-CN"/>
              </w:rPr>
            </w:pPr>
          </w:p>
        </w:tc>
      </w:tr>
      <w:tr w14:paraId="444A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4891B35E">
            <w:pPr>
              <w:spacing w:line="360" w:lineRule="auto"/>
              <w:jc w:val="both"/>
              <w:rPr>
                <w:rFonts w:hint="eastAsia" w:ascii="仿宋" w:hAnsi="仿宋" w:eastAsia="仿宋" w:cs="仿宋"/>
                <w:color w:val="auto"/>
                <w:sz w:val="24"/>
                <w:szCs w:val="24"/>
                <w:lang w:eastAsia="zh-CN"/>
              </w:rPr>
            </w:pPr>
          </w:p>
        </w:tc>
        <w:tc>
          <w:tcPr>
            <w:tcW w:w="2669" w:type="dxa"/>
            <w:vAlign w:val="center"/>
          </w:tcPr>
          <w:p w14:paraId="189AEB14">
            <w:pPr>
              <w:spacing w:line="360" w:lineRule="auto"/>
              <w:jc w:val="both"/>
              <w:rPr>
                <w:rFonts w:hint="eastAsia" w:ascii="仿宋" w:hAnsi="仿宋" w:eastAsia="仿宋" w:cs="仿宋"/>
                <w:color w:val="auto"/>
                <w:sz w:val="24"/>
                <w:szCs w:val="24"/>
                <w:lang w:eastAsia="zh-CN"/>
              </w:rPr>
            </w:pPr>
          </w:p>
        </w:tc>
        <w:tc>
          <w:tcPr>
            <w:tcW w:w="2669" w:type="dxa"/>
            <w:vAlign w:val="center"/>
          </w:tcPr>
          <w:p w14:paraId="0A390E26">
            <w:pPr>
              <w:spacing w:line="360" w:lineRule="auto"/>
              <w:jc w:val="both"/>
              <w:rPr>
                <w:rFonts w:hint="eastAsia" w:ascii="仿宋" w:hAnsi="仿宋" w:eastAsia="仿宋" w:cs="仿宋"/>
                <w:color w:val="auto"/>
                <w:sz w:val="24"/>
                <w:szCs w:val="24"/>
                <w:lang w:eastAsia="zh-CN"/>
              </w:rPr>
            </w:pPr>
          </w:p>
        </w:tc>
        <w:tc>
          <w:tcPr>
            <w:tcW w:w="2670" w:type="dxa"/>
            <w:vAlign w:val="center"/>
          </w:tcPr>
          <w:p w14:paraId="49E07DE7">
            <w:pPr>
              <w:spacing w:line="360" w:lineRule="auto"/>
              <w:jc w:val="both"/>
              <w:rPr>
                <w:rFonts w:hint="eastAsia" w:ascii="仿宋" w:hAnsi="仿宋" w:eastAsia="仿宋" w:cs="仿宋"/>
                <w:color w:val="auto"/>
                <w:sz w:val="24"/>
                <w:szCs w:val="24"/>
                <w:lang w:eastAsia="zh-CN"/>
              </w:rPr>
            </w:pPr>
          </w:p>
        </w:tc>
      </w:tr>
      <w:tr w14:paraId="0727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0871FA95">
            <w:pPr>
              <w:spacing w:line="360" w:lineRule="auto"/>
              <w:jc w:val="both"/>
              <w:rPr>
                <w:rFonts w:hint="eastAsia" w:ascii="仿宋" w:hAnsi="仿宋" w:eastAsia="仿宋" w:cs="仿宋"/>
                <w:color w:val="auto"/>
                <w:sz w:val="24"/>
                <w:szCs w:val="24"/>
                <w:lang w:eastAsia="zh-CN"/>
              </w:rPr>
            </w:pPr>
          </w:p>
        </w:tc>
        <w:tc>
          <w:tcPr>
            <w:tcW w:w="2669" w:type="dxa"/>
            <w:vAlign w:val="center"/>
          </w:tcPr>
          <w:p w14:paraId="17A6DB1B">
            <w:pPr>
              <w:spacing w:line="360" w:lineRule="auto"/>
              <w:jc w:val="both"/>
              <w:rPr>
                <w:rFonts w:hint="eastAsia" w:ascii="仿宋" w:hAnsi="仿宋" w:eastAsia="仿宋" w:cs="仿宋"/>
                <w:color w:val="auto"/>
                <w:sz w:val="24"/>
                <w:szCs w:val="24"/>
                <w:lang w:eastAsia="zh-CN"/>
              </w:rPr>
            </w:pPr>
          </w:p>
        </w:tc>
        <w:tc>
          <w:tcPr>
            <w:tcW w:w="2669" w:type="dxa"/>
            <w:vAlign w:val="center"/>
          </w:tcPr>
          <w:p w14:paraId="77305E64">
            <w:pPr>
              <w:spacing w:line="360" w:lineRule="auto"/>
              <w:jc w:val="both"/>
              <w:rPr>
                <w:rFonts w:hint="eastAsia" w:ascii="仿宋" w:hAnsi="仿宋" w:eastAsia="仿宋" w:cs="仿宋"/>
                <w:color w:val="auto"/>
                <w:sz w:val="24"/>
                <w:szCs w:val="24"/>
                <w:lang w:eastAsia="zh-CN"/>
              </w:rPr>
            </w:pPr>
          </w:p>
        </w:tc>
        <w:tc>
          <w:tcPr>
            <w:tcW w:w="2670" w:type="dxa"/>
            <w:vAlign w:val="center"/>
          </w:tcPr>
          <w:p w14:paraId="15A21C64">
            <w:pPr>
              <w:spacing w:line="360" w:lineRule="auto"/>
              <w:jc w:val="both"/>
              <w:rPr>
                <w:rFonts w:hint="eastAsia" w:ascii="仿宋" w:hAnsi="仿宋" w:eastAsia="仿宋" w:cs="仿宋"/>
                <w:color w:val="auto"/>
                <w:sz w:val="24"/>
                <w:szCs w:val="24"/>
                <w:lang w:eastAsia="zh-CN"/>
              </w:rPr>
            </w:pPr>
          </w:p>
        </w:tc>
      </w:tr>
      <w:tr w14:paraId="311F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9" w:type="dxa"/>
            <w:vAlign w:val="center"/>
          </w:tcPr>
          <w:p w14:paraId="1E8D067E">
            <w:pPr>
              <w:spacing w:line="360" w:lineRule="auto"/>
              <w:jc w:val="both"/>
              <w:rPr>
                <w:rFonts w:hint="eastAsia" w:ascii="仿宋" w:hAnsi="仿宋" w:eastAsia="仿宋" w:cs="仿宋"/>
                <w:color w:val="auto"/>
                <w:sz w:val="24"/>
                <w:szCs w:val="24"/>
                <w:lang w:eastAsia="zh-CN"/>
              </w:rPr>
            </w:pPr>
          </w:p>
        </w:tc>
        <w:tc>
          <w:tcPr>
            <w:tcW w:w="2669" w:type="dxa"/>
            <w:vAlign w:val="center"/>
          </w:tcPr>
          <w:p w14:paraId="233EE186">
            <w:pPr>
              <w:spacing w:line="360" w:lineRule="auto"/>
              <w:jc w:val="both"/>
              <w:rPr>
                <w:rFonts w:hint="eastAsia" w:ascii="仿宋" w:hAnsi="仿宋" w:eastAsia="仿宋" w:cs="仿宋"/>
                <w:color w:val="auto"/>
                <w:sz w:val="24"/>
                <w:szCs w:val="24"/>
                <w:lang w:eastAsia="zh-CN"/>
              </w:rPr>
            </w:pPr>
          </w:p>
        </w:tc>
        <w:tc>
          <w:tcPr>
            <w:tcW w:w="2669" w:type="dxa"/>
            <w:vAlign w:val="center"/>
          </w:tcPr>
          <w:p w14:paraId="3E5E8BAD">
            <w:pPr>
              <w:spacing w:line="360" w:lineRule="auto"/>
              <w:jc w:val="both"/>
              <w:rPr>
                <w:rFonts w:hint="eastAsia" w:ascii="仿宋" w:hAnsi="仿宋" w:eastAsia="仿宋" w:cs="仿宋"/>
                <w:color w:val="auto"/>
                <w:sz w:val="24"/>
                <w:szCs w:val="24"/>
                <w:lang w:eastAsia="zh-CN"/>
              </w:rPr>
            </w:pPr>
          </w:p>
        </w:tc>
        <w:tc>
          <w:tcPr>
            <w:tcW w:w="2670" w:type="dxa"/>
            <w:vAlign w:val="center"/>
          </w:tcPr>
          <w:p w14:paraId="4C2135F4">
            <w:pPr>
              <w:spacing w:line="360" w:lineRule="auto"/>
              <w:jc w:val="both"/>
              <w:rPr>
                <w:rFonts w:hint="eastAsia" w:ascii="仿宋" w:hAnsi="仿宋" w:eastAsia="仿宋" w:cs="仿宋"/>
                <w:color w:val="auto"/>
                <w:sz w:val="24"/>
                <w:szCs w:val="24"/>
                <w:lang w:eastAsia="zh-CN"/>
              </w:rPr>
            </w:pPr>
          </w:p>
        </w:tc>
      </w:tr>
    </w:tbl>
    <w:p w14:paraId="24F45706">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                         法定代表人（或其授权代表）或自然人：</w:t>
      </w:r>
    </w:p>
    <w:p w14:paraId="4CBB4D75">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（供应商公章）                               （签署或盖章）</w:t>
      </w:r>
    </w:p>
    <w:p w14:paraId="489757E5">
      <w:pPr>
        <w:spacing w:line="360" w:lineRule="auto"/>
        <w:jc w:val="both"/>
        <w:rPr>
          <w:rFonts w:hint="eastAsia" w:ascii="仿宋" w:hAnsi="仿宋" w:eastAsia="仿宋" w:cs="仿宋"/>
          <w:color w:val="auto"/>
          <w:sz w:val="24"/>
          <w:szCs w:val="24"/>
          <w:lang w:eastAsia="zh-CN"/>
        </w:rPr>
      </w:pPr>
    </w:p>
    <w:p w14:paraId="7113D696">
      <w:pPr>
        <w:spacing w:line="360" w:lineRule="auto"/>
        <w:ind w:firstLine="48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211C3600">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52505B1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1.本表即为对本项目“第二篇  询价项目技术需求”中所列条款进行比较和响应。</w:t>
      </w:r>
    </w:p>
    <w:p w14:paraId="6FC2767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2.本表可扩展。</w:t>
      </w:r>
    </w:p>
    <w:p w14:paraId="124689AC">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r>
        <w:rPr>
          <w:rFonts w:hint="eastAsia" w:ascii="仿宋" w:hAnsi="仿宋" w:eastAsia="仿宋" w:cs="仿宋"/>
          <w:color w:val="auto"/>
          <w:sz w:val="24"/>
          <w:szCs w:val="24"/>
          <w:lang w:eastAsia="zh-CN"/>
        </w:rPr>
        <w:t xml:space="preserve">    （二）其他资料（格式自定）</w:t>
      </w:r>
    </w:p>
    <w:p w14:paraId="371C3D03">
      <w:pPr>
        <w:spacing w:line="360" w:lineRule="auto"/>
        <w:jc w:val="both"/>
        <w:rPr>
          <w:rFonts w:hint="eastAsia" w:ascii="仿宋" w:hAnsi="仿宋" w:eastAsia="仿宋" w:cs="仿宋"/>
          <w:color w:val="auto"/>
          <w:sz w:val="24"/>
          <w:szCs w:val="24"/>
          <w:lang w:eastAsia="zh-CN"/>
        </w:rPr>
      </w:pPr>
    </w:p>
    <w:p w14:paraId="515D7867">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bookmarkStart w:id="267" w:name="_Toc65660381"/>
      <w:bookmarkStart w:id="268" w:name="_Toc27717"/>
      <w:bookmarkStart w:id="269" w:name="_Toc106034810"/>
      <w:bookmarkStart w:id="270" w:name="_Toc32158"/>
      <w:bookmarkStart w:id="271" w:name="_Toc32339"/>
      <w:bookmarkStart w:id="272" w:name="_Toc342913421"/>
      <w:bookmarkStart w:id="273" w:name="_Toc313008358"/>
      <w:bookmarkStart w:id="274" w:name="_Toc313888362"/>
      <w:r>
        <w:rPr>
          <w:rFonts w:hint="eastAsia" w:ascii="仿宋" w:hAnsi="仿宋" w:eastAsia="仿宋" w:cs="仿宋"/>
          <w:color w:val="auto"/>
          <w:sz w:val="24"/>
          <w:szCs w:val="24"/>
          <w:lang w:eastAsia="zh-CN"/>
        </w:rPr>
        <w:t xml:space="preserve">    三、服务部分</w:t>
      </w:r>
      <w:bookmarkEnd w:id="267"/>
      <w:bookmarkEnd w:id="268"/>
      <w:bookmarkEnd w:id="269"/>
      <w:bookmarkEnd w:id="270"/>
      <w:bookmarkEnd w:id="271"/>
    </w:p>
    <w:p w14:paraId="09E0D8D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（一）服务响应偏离表</w:t>
      </w:r>
    </w:p>
    <w:p w14:paraId="11EC812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项目号：</w:t>
      </w:r>
    </w:p>
    <w:p w14:paraId="3922CFF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询价项目名称：</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660"/>
        <w:gridCol w:w="2660"/>
        <w:gridCol w:w="2661"/>
      </w:tblGrid>
      <w:tr w14:paraId="6B0A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Align w:val="center"/>
          </w:tcPr>
          <w:p w14:paraId="07901B2F">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60" w:type="dxa"/>
            <w:vAlign w:val="center"/>
          </w:tcPr>
          <w:p w14:paraId="3E6F8A4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tc>
        <w:tc>
          <w:tcPr>
            <w:tcW w:w="2660" w:type="dxa"/>
            <w:vAlign w:val="center"/>
          </w:tcPr>
          <w:p w14:paraId="5817B195">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661" w:type="dxa"/>
            <w:vAlign w:val="center"/>
          </w:tcPr>
          <w:p w14:paraId="20049665">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6DF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07D59594">
            <w:pPr>
              <w:spacing w:line="360" w:lineRule="auto"/>
              <w:jc w:val="both"/>
              <w:rPr>
                <w:rFonts w:hint="eastAsia" w:ascii="仿宋" w:hAnsi="仿宋" w:eastAsia="仿宋" w:cs="仿宋"/>
                <w:color w:val="auto"/>
                <w:sz w:val="24"/>
                <w:szCs w:val="24"/>
              </w:rPr>
            </w:pPr>
          </w:p>
        </w:tc>
        <w:tc>
          <w:tcPr>
            <w:tcW w:w="2660" w:type="dxa"/>
            <w:vAlign w:val="center"/>
          </w:tcPr>
          <w:p w14:paraId="27D80CBC">
            <w:pPr>
              <w:spacing w:line="360" w:lineRule="auto"/>
              <w:jc w:val="both"/>
              <w:rPr>
                <w:rFonts w:hint="eastAsia" w:ascii="仿宋" w:hAnsi="仿宋" w:eastAsia="仿宋" w:cs="仿宋"/>
                <w:color w:val="auto"/>
                <w:sz w:val="24"/>
                <w:szCs w:val="24"/>
              </w:rPr>
            </w:pPr>
          </w:p>
        </w:tc>
        <w:tc>
          <w:tcPr>
            <w:tcW w:w="2660" w:type="dxa"/>
            <w:vAlign w:val="center"/>
          </w:tcPr>
          <w:p w14:paraId="266D4417">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提醒：请注明具体内容以及响应文件中具体内容的位置（页码）</w:t>
            </w:r>
          </w:p>
        </w:tc>
        <w:tc>
          <w:tcPr>
            <w:tcW w:w="2661" w:type="dxa"/>
            <w:vAlign w:val="center"/>
          </w:tcPr>
          <w:p w14:paraId="48D9FE3F">
            <w:pPr>
              <w:spacing w:line="360" w:lineRule="auto"/>
              <w:jc w:val="both"/>
              <w:rPr>
                <w:rFonts w:hint="eastAsia" w:ascii="仿宋" w:hAnsi="仿宋" w:eastAsia="仿宋" w:cs="仿宋"/>
                <w:color w:val="auto"/>
                <w:sz w:val="24"/>
                <w:szCs w:val="24"/>
                <w:lang w:eastAsia="zh-CN"/>
              </w:rPr>
            </w:pPr>
          </w:p>
        </w:tc>
      </w:tr>
      <w:tr w14:paraId="5E70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674ADCF9">
            <w:pPr>
              <w:spacing w:line="360" w:lineRule="auto"/>
              <w:jc w:val="both"/>
              <w:rPr>
                <w:rFonts w:hint="eastAsia" w:ascii="仿宋" w:hAnsi="仿宋" w:eastAsia="仿宋" w:cs="仿宋"/>
                <w:color w:val="auto"/>
                <w:sz w:val="24"/>
                <w:szCs w:val="24"/>
                <w:lang w:eastAsia="zh-CN"/>
              </w:rPr>
            </w:pPr>
          </w:p>
        </w:tc>
        <w:tc>
          <w:tcPr>
            <w:tcW w:w="2660" w:type="dxa"/>
            <w:vAlign w:val="center"/>
          </w:tcPr>
          <w:p w14:paraId="3E0C2761">
            <w:pPr>
              <w:spacing w:line="360" w:lineRule="auto"/>
              <w:jc w:val="both"/>
              <w:rPr>
                <w:rFonts w:hint="eastAsia" w:ascii="仿宋" w:hAnsi="仿宋" w:eastAsia="仿宋" w:cs="仿宋"/>
                <w:color w:val="auto"/>
                <w:sz w:val="24"/>
                <w:szCs w:val="24"/>
                <w:lang w:eastAsia="zh-CN"/>
              </w:rPr>
            </w:pPr>
          </w:p>
        </w:tc>
        <w:tc>
          <w:tcPr>
            <w:tcW w:w="2660" w:type="dxa"/>
            <w:vAlign w:val="center"/>
          </w:tcPr>
          <w:p w14:paraId="734F95CB">
            <w:pPr>
              <w:spacing w:line="360" w:lineRule="auto"/>
              <w:jc w:val="both"/>
              <w:rPr>
                <w:rFonts w:hint="eastAsia" w:ascii="仿宋" w:hAnsi="仿宋" w:eastAsia="仿宋" w:cs="仿宋"/>
                <w:color w:val="auto"/>
                <w:sz w:val="24"/>
                <w:szCs w:val="24"/>
                <w:lang w:eastAsia="zh-CN"/>
              </w:rPr>
            </w:pPr>
          </w:p>
        </w:tc>
        <w:tc>
          <w:tcPr>
            <w:tcW w:w="2661" w:type="dxa"/>
            <w:vAlign w:val="center"/>
          </w:tcPr>
          <w:p w14:paraId="4F32799E">
            <w:pPr>
              <w:spacing w:line="360" w:lineRule="auto"/>
              <w:jc w:val="both"/>
              <w:rPr>
                <w:rFonts w:hint="eastAsia" w:ascii="仿宋" w:hAnsi="仿宋" w:eastAsia="仿宋" w:cs="仿宋"/>
                <w:color w:val="auto"/>
                <w:sz w:val="24"/>
                <w:szCs w:val="24"/>
                <w:lang w:eastAsia="zh-CN"/>
              </w:rPr>
            </w:pPr>
          </w:p>
        </w:tc>
      </w:tr>
      <w:tr w14:paraId="1603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1BEDC6C0">
            <w:pPr>
              <w:spacing w:line="360" w:lineRule="auto"/>
              <w:jc w:val="both"/>
              <w:rPr>
                <w:rFonts w:hint="eastAsia" w:ascii="仿宋" w:hAnsi="仿宋" w:eastAsia="仿宋" w:cs="仿宋"/>
                <w:color w:val="auto"/>
                <w:sz w:val="24"/>
                <w:szCs w:val="24"/>
                <w:lang w:eastAsia="zh-CN"/>
              </w:rPr>
            </w:pPr>
          </w:p>
        </w:tc>
        <w:tc>
          <w:tcPr>
            <w:tcW w:w="2660" w:type="dxa"/>
            <w:vAlign w:val="center"/>
          </w:tcPr>
          <w:p w14:paraId="0BEE69ED">
            <w:pPr>
              <w:spacing w:line="360" w:lineRule="auto"/>
              <w:jc w:val="both"/>
              <w:rPr>
                <w:rFonts w:hint="eastAsia" w:ascii="仿宋" w:hAnsi="仿宋" w:eastAsia="仿宋" w:cs="仿宋"/>
                <w:color w:val="auto"/>
                <w:sz w:val="24"/>
                <w:szCs w:val="24"/>
                <w:lang w:eastAsia="zh-CN"/>
              </w:rPr>
            </w:pPr>
          </w:p>
        </w:tc>
        <w:tc>
          <w:tcPr>
            <w:tcW w:w="2660" w:type="dxa"/>
            <w:vAlign w:val="center"/>
          </w:tcPr>
          <w:p w14:paraId="54626916">
            <w:pPr>
              <w:spacing w:line="360" w:lineRule="auto"/>
              <w:jc w:val="both"/>
              <w:rPr>
                <w:rFonts w:hint="eastAsia" w:ascii="仿宋" w:hAnsi="仿宋" w:eastAsia="仿宋" w:cs="仿宋"/>
                <w:color w:val="auto"/>
                <w:sz w:val="24"/>
                <w:szCs w:val="24"/>
                <w:lang w:eastAsia="zh-CN"/>
              </w:rPr>
            </w:pPr>
          </w:p>
        </w:tc>
        <w:tc>
          <w:tcPr>
            <w:tcW w:w="2661" w:type="dxa"/>
            <w:vAlign w:val="center"/>
          </w:tcPr>
          <w:p w14:paraId="5E664F7A">
            <w:pPr>
              <w:spacing w:line="360" w:lineRule="auto"/>
              <w:jc w:val="both"/>
              <w:rPr>
                <w:rFonts w:hint="eastAsia" w:ascii="仿宋" w:hAnsi="仿宋" w:eastAsia="仿宋" w:cs="仿宋"/>
                <w:color w:val="auto"/>
                <w:sz w:val="24"/>
                <w:szCs w:val="24"/>
                <w:lang w:eastAsia="zh-CN"/>
              </w:rPr>
            </w:pPr>
          </w:p>
        </w:tc>
      </w:tr>
      <w:tr w14:paraId="6C4C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2C5D3456">
            <w:pPr>
              <w:spacing w:line="360" w:lineRule="auto"/>
              <w:jc w:val="both"/>
              <w:rPr>
                <w:rFonts w:hint="eastAsia" w:ascii="仿宋" w:hAnsi="仿宋" w:eastAsia="仿宋" w:cs="仿宋"/>
                <w:color w:val="auto"/>
                <w:sz w:val="24"/>
                <w:szCs w:val="24"/>
                <w:lang w:eastAsia="zh-CN"/>
              </w:rPr>
            </w:pPr>
          </w:p>
        </w:tc>
        <w:tc>
          <w:tcPr>
            <w:tcW w:w="2660" w:type="dxa"/>
            <w:vAlign w:val="center"/>
          </w:tcPr>
          <w:p w14:paraId="0EAD8656">
            <w:pPr>
              <w:spacing w:line="360" w:lineRule="auto"/>
              <w:jc w:val="both"/>
              <w:rPr>
                <w:rFonts w:hint="eastAsia" w:ascii="仿宋" w:hAnsi="仿宋" w:eastAsia="仿宋" w:cs="仿宋"/>
                <w:color w:val="auto"/>
                <w:sz w:val="24"/>
                <w:szCs w:val="24"/>
                <w:lang w:eastAsia="zh-CN"/>
              </w:rPr>
            </w:pPr>
          </w:p>
        </w:tc>
        <w:tc>
          <w:tcPr>
            <w:tcW w:w="2660" w:type="dxa"/>
            <w:vAlign w:val="center"/>
          </w:tcPr>
          <w:p w14:paraId="32074279">
            <w:pPr>
              <w:spacing w:line="360" w:lineRule="auto"/>
              <w:jc w:val="both"/>
              <w:rPr>
                <w:rFonts w:hint="eastAsia" w:ascii="仿宋" w:hAnsi="仿宋" w:eastAsia="仿宋" w:cs="仿宋"/>
                <w:color w:val="auto"/>
                <w:sz w:val="24"/>
                <w:szCs w:val="24"/>
                <w:lang w:eastAsia="zh-CN"/>
              </w:rPr>
            </w:pPr>
          </w:p>
        </w:tc>
        <w:tc>
          <w:tcPr>
            <w:tcW w:w="2661" w:type="dxa"/>
            <w:vAlign w:val="center"/>
          </w:tcPr>
          <w:p w14:paraId="5B8DDC65">
            <w:pPr>
              <w:spacing w:line="360" w:lineRule="auto"/>
              <w:jc w:val="both"/>
              <w:rPr>
                <w:rFonts w:hint="eastAsia" w:ascii="仿宋" w:hAnsi="仿宋" w:eastAsia="仿宋" w:cs="仿宋"/>
                <w:color w:val="auto"/>
                <w:sz w:val="24"/>
                <w:szCs w:val="24"/>
                <w:lang w:eastAsia="zh-CN"/>
              </w:rPr>
            </w:pPr>
          </w:p>
        </w:tc>
      </w:tr>
      <w:tr w14:paraId="417F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5EB7ED1C">
            <w:pPr>
              <w:spacing w:line="360" w:lineRule="auto"/>
              <w:jc w:val="both"/>
              <w:rPr>
                <w:rFonts w:hint="eastAsia" w:ascii="仿宋" w:hAnsi="仿宋" w:eastAsia="仿宋" w:cs="仿宋"/>
                <w:color w:val="auto"/>
                <w:sz w:val="24"/>
                <w:szCs w:val="24"/>
                <w:lang w:eastAsia="zh-CN"/>
              </w:rPr>
            </w:pPr>
          </w:p>
        </w:tc>
        <w:tc>
          <w:tcPr>
            <w:tcW w:w="2660" w:type="dxa"/>
            <w:vAlign w:val="center"/>
          </w:tcPr>
          <w:p w14:paraId="511033FF">
            <w:pPr>
              <w:spacing w:line="360" w:lineRule="auto"/>
              <w:jc w:val="both"/>
              <w:rPr>
                <w:rFonts w:hint="eastAsia" w:ascii="仿宋" w:hAnsi="仿宋" w:eastAsia="仿宋" w:cs="仿宋"/>
                <w:color w:val="auto"/>
                <w:sz w:val="24"/>
                <w:szCs w:val="24"/>
                <w:lang w:eastAsia="zh-CN"/>
              </w:rPr>
            </w:pPr>
          </w:p>
        </w:tc>
        <w:tc>
          <w:tcPr>
            <w:tcW w:w="2660" w:type="dxa"/>
            <w:vAlign w:val="center"/>
          </w:tcPr>
          <w:p w14:paraId="75A79BE5">
            <w:pPr>
              <w:spacing w:line="360" w:lineRule="auto"/>
              <w:jc w:val="both"/>
              <w:rPr>
                <w:rFonts w:hint="eastAsia" w:ascii="仿宋" w:hAnsi="仿宋" w:eastAsia="仿宋" w:cs="仿宋"/>
                <w:color w:val="auto"/>
                <w:sz w:val="24"/>
                <w:szCs w:val="24"/>
                <w:lang w:eastAsia="zh-CN"/>
              </w:rPr>
            </w:pPr>
          </w:p>
        </w:tc>
        <w:tc>
          <w:tcPr>
            <w:tcW w:w="2661" w:type="dxa"/>
            <w:vAlign w:val="center"/>
          </w:tcPr>
          <w:p w14:paraId="3A148D5D">
            <w:pPr>
              <w:spacing w:line="360" w:lineRule="auto"/>
              <w:jc w:val="both"/>
              <w:rPr>
                <w:rFonts w:hint="eastAsia" w:ascii="仿宋" w:hAnsi="仿宋" w:eastAsia="仿宋" w:cs="仿宋"/>
                <w:color w:val="auto"/>
                <w:sz w:val="24"/>
                <w:szCs w:val="24"/>
                <w:lang w:eastAsia="zh-CN"/>
              </w:rPr>
            </w:pPr>
          </w:p>
        </w:tc>
      </w:tr>
      <w:tr w14:paraId="147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80" w:type="dxa"/>
            <w:vAlign w:val="center"/>
          </w:tcPr>
          <w:p w14:paraId="64F1DCD1">
            <w:pPr>
              <w:spacing w:line="360" w:lineRule="auto"/>
              <w:jc w:val="both"/>
              <w:rPr>
                <w:rFonts w:hint="eastAsia" w:ascii="仿宋" w:hAnsi="仿宋" w:eastAsia="仿宋" w:cs="仿宋"/>
                <w:color w:val="auto"/>
                <w:sz w:val="24"/>
                <w:szCs w:val="24"/>
                <w:lang w:eastAsia="zh-CN"/>
              </w:rPr>
            </w:pPr>
          </w:p>
        </w:tc>
        <w:tc>
          <w:tcPr>
            <w:tcW w:w="2660" w:type="dxa"/>
            <w:vAlign w:val="center"/>
          </w:tcPr>
          <w:p w14:paraId="2DB11BF6">
            <w:pPr>
              <w:spacing w:line="360" w:lineRule="auto"/>
              <w:jc w:val="both"/>
              <w:rPr>
                <w:rFonts w:hint="eastAsia" w:ascii="仿宋" w:hAnsi="仿宋" w:eastAsia="仿宋" w:cs="仿宋"/>
                <w:color w:val="auto"/>
                <w:sz w:val="24"/>
                <w:szCs w:val="24"/>
                <w:lang w:eastAsia="zh-CN"/>
              </w:rPr>
            </w:pPr>
          </w:p>
        </w:tc>
        <w:tc>
          <w:tcPr>
            <w:tcW w:w="2660" w:type="dxa"/>
            <w:vAlign w:val="center"/>
          </w:tcPr>
          <w:p w14:paraId="7E8A84A1">
            <w:pPr>
              <w:spacing w:line="360" w:lineRule="auto"/>
              <w:jc w:val="both"/>
              <w:rPr>
                <w:rFonts w:hint="eastAsia" w:ascii="仿宋" w:hAnsi="仿宋" w:eastAsia="仿宋" w:cs="仿宋"/>
                <w:color w:val="auto"/>
                <w:sz w:val="24"/>
                <w:szCs w:val="24"/>
                <w:lang w:eastAsia="zh-CN"/>
              </w:rPr>
            </w:pPr>
          </w:p>
        </w:tc>
        <w:tc>
          <w:tcPr>
            <w:tcW w:w="2661" w:type="dxa"/>
            <w:vAlign w:val="center"/>
          </w:tcPr>
          <w:p w14:paraId="230F13A5">
            <w:pPr>
              <w:spacing w:line="360" w:lineRule="auto"/>
              <w:jc w:val="both"/>
              <w:rPr>
                <w:rFonts w:hint="eastAsia" w:ascii="仿宋" w:hAnsi="仿宋" w:eastAsia="仿宋" w:cs="仿宋"/>
                <w:color w:val="auto"/>
                <w:sz w:val="24"/>
                <w:szCs w:val="24"/>
                <w:lang w:eastAsia="zh-CN"/>
              </w:rPr>
            </w:pPr>
          </w:p>
        </w:tc>
      </w:tr>
    </w:tbl>
    <w:p w14:paraId="5C2A8E3F">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                         法定代表人（或其授权代表）或自然人：</w:t>
      </w:r>
    </w:p>
    <w:p w14:paraId="679FF21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（供应商公章）                               （签署或盖章）</w:t>
      </w:r>
    </w:p>
    <w:p w14:paraId="7E17F33C">
      <w:pPr>
        <w:spacing w:line="360" w:lineRule="auto"/>
        <w:jc w:val="both"/>
        <w:rPr>
          <w:rFonts w:hint="eastAsia" w:ascii="仿宋" w:hAnsi="仿宋" w:eastAsia="仿宋" w:cs="仿宋"/>
          <w:color w:val="auto"/>
          <w:sz w:val="24"/>
          <w:szCs w:val="24"/>
          <w:lang w:eastAsia="zh-CN"/>
        </w:rPr>
      </w:pPr>
    </w:p>
    <w:p w14:paraId="77DB478B">
      <w:pPr>
        <w:spacing w:line="360" w:lineRule="auto"/>
        <w:ind w:firstLine="48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32549E5A">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734BAA19">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1.本表即为对本项目“第二篇  询价项目服务需求”中所列条款进行比较和响应。</w:t>
      </w:r>
    </w:p>
    <w:p w14:paraId="38C98542">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2.本表可扩展。</w:t>
      </w:r>
    </w:p>
    <w:p w14:paraId="2609F857">
      <w:pPr>
        <w:spacing w:line="360" w:lineRule="auto"/>
        <w:jc w:val="both"/>
        <w:rPr>
          <w:rFonts w:hint="eastAsia" w:ascii="仿宋" w:hAnsi="仿宋" w:eastAsia="仿宋" w:cs="仿宋"/>
          <w:color w:val="auto"/>
          <w:sz w:val="24"/>
          <w:szCs w:val="24"/>
          <w:lang w:eastAsia="zh-CN"/>
        </w:rPr>
      </w:pPr>
    </w:p>
    <w:p w14:paraId="6788E065">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r>
        <w:rPr>
          <w:rFonts w:hint="eastAsia" w:ascii="仿宋" w:hAnsi="仿宋" w:eastAsia="仿宋" w:cs="仿宋"/>
          <w:color w:val="auto"/>
          <w:sz w:val="24"/>
          <w:szCs w:val="24"/>
          <w:lang w:eastAsia="zh-CN"/>
        </w:rPr>
        <w:t xml:space="preserve">    （二）其他优惠服务承诺（格式自定）</w:t>
      </w:r>
    </w:p>
    <w:p w14:paraId="091564C7">
      <w:pPr>
        <w:spacing w:line="360" w:lineRule="auto"/>
        <w:jc w:val="both"/>
        <w:rPr>
          <w:rFonts w:hint="eastAsia" w:ascii="仿宋" w:hAnsi="仿宋" w:eastAsia="仿宋" w:cs="仿宋"/>
          <w:color w:val="auto"/>
          <w:sz w:val="24"/>
          <w:szCs w:val="24"/>
          <w:lang w:eastAsia="zh-CN"/>
        </w:rPr>
      </w:pPr>
    </w:p>
    <w:p w14:paraId="14C7D0D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bookmarkStart w:id="275" w:name="_Toc106034811"/>
      <w:bookmarkStart w:id="276" w:name="_Toc21793"/>
      <w:bookmarkStart w:id="277" w:name="_Toc20162"/>
      <w:bookmarkStart w:id="278" w:name="_Toc65660382"/>
      <w:bookmarkStart w:id="279" w:name="_Toc2082"/>
      <w:r>
        <w:rPr>
          <w:rFonts w:hint="eastAsia" w:ascii="仿宋" w:hAnsi="仿宋" w:eastAsia="仿宋" w:cs="仿宋"/>
          <w:color w:val="auto"/>
          <w:sz w:val="24"/>
          <w:szCs w:val="24"/>
          <w:lang w:eastAsia="zh-CN"/>
        </w:rPr>
        <w:t xml:space="preserve">    四、</w:t>
      </w:r>
      <w:bookmarkEnd w:id="272"/>
      <w:bookmarkEnd w:id="273"/>
      <w:bookmarkEnd w:id="274"/>
      <w:r>
        <w:rPr>
          <w:rFonts w:hint="eastAsia" w:ascii="仿宋" w:hAnsi="仿宋" w:eastAsia="仿宋" w:cs="仿宋"/>
          <w:color w:val="auto"/>
          <w:sz w:val="24"/>
          <w:szCs w:val="24"/>
          <w:lang w:eastAsia="zh-CN"/>
        </w:rPr>
        <w:t>资格条件及其他</w:t>
      </w:r>
      <w:bookmarkEnd w:id="275"/>
      <w:bookmarkEnd w:id="276"/>
      <w:bookmarkEnd w:id="277"/>
      <w:bookmarkEnd w:id="278"/>
      <w:bookmarkEnd w:id="279"/>
      <w:bookmarkStart w:id="280" w:name="_Toc313008359"/>
      <w:bookmarkStart w:id="281" w:name="_Toc313888363"/>
      <w:bookmarkStart w:id="282" w:name="_Toc342913422"/>
    </w:p>
    <w:p w14:paraId="50A41BA1">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（一）法人营业执照（副本）或事业单位法人证书（副本）或个体工商户营业执照或有效的自然人身份证明或社会团体法人登记证书复印件。</w:t>
      </w:r>
    </w:p>
    <w:p w14:paraId="42C4C090">
      <w:pPr>
        <w:spacing w:line="360" w:lineRule="auto"/>
        <w:jc w:val="both"/>
        <w:rPr>
          <w:rFonts w:hint="eastAsia" w:ascii="仿宋" w:hAnsi="仿宋" w:eastAsia="仿宋" w:cs="仿宋"/>
          <w:color w:val="auto"/>
          <w:sz w:val="24"/>
          <w:szCs w:val="24"/>
          <w:lang w:eastAsia="zh-CN"/>
        </w:rPr>
      </w:pPr>
    </w:p>
    <w:p w14:paraId="111C1C52">
      <w:pPr>
        <w:spacing w:line="360" w:lineRule="auto"/>
        <w:jc w:val="both"/>
        <w:rPr>
          <w:rFonts w:hint="eastAsia" w:ascii="仿宋" w:hAnsi="仿宋" w:eastAsia="仿宋" w:cs="仿宋"/>
          <w:color w:val="auto"/>
          <w:sz w:val="24"/>
          <w:szCs w:val="24"/>
          <w:lang w:eastAsia="zh-CN"/>
        </w:rPr>
      </w:pPr>
    </w:p>
    <w:p w14:paraId="7E773E9E">
      <w:pPr>
        <w:spacing w:line="360" w:lineRule="auto"/>
        <w:jc w:val="both"/>
        <w:rPr>
          <w:rFonts w:hint="eastAsia" w:ascii="仿宋" w:hAnsi="仿宋" w:eastAsia="仿宋" w:cs="仿宋"/>
          <w:color w:val="auto"/>
          <w:sz w:val="24"/>
          <w:szCs w:val="24"/>
          <w:lang w:eastAsia="zh-CN"/>
        </w:rPr>
      </w:pPr>
    </w:p>
    <w:p w14:paraId="3FAA2284">
      <w:pPr>
        <w:spacing w:line="360" w:lineRule="auto"/>
        <w:jc w:val="both"/>
        <w:rPr>
          <w:rFonts w:hint="eastAsia" w:ascii="仿宋" w:hAnsi="仿宋" w:eastAsia="仿宋" w:cs="仿宋"/>
          <w:color w:val="auto"/>
          <w:sz w:val="24"/>
          <w:szCs w:val="24"/>
          <w:lang w:eastAsia="zh-CN"/>
        </w:rPr>
      </w:pPr>
    </w:p>
    <w:p w14:paraId="7CFB0A2D">
      <w:pPr>
        <w:spacing w:line="360" w:lineRule="auto"/>
        <w:jc w:val="both"/>
        <w:rPr>
          <w:rFonts w:hint="eastAsia" w:ascii="仿宋" w:hAnsi="仿宋" w:eastAsia="仿宋" w:cs="仿宋"/>
          <w:color w:val="auto"/>
          <w:sz w:val="24"/>
          <w:szCs w:val="24"/>
          <w:lang w:eastAsia="zh-CN"/>
        </w:rPr>
      </w:pPr>
    </w:p>
    <w:p w14:paraId="45C25396">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r>
        <w:rPr>
          <w:rFonts w:hint="eastAsia" w:ascii="仿宋" w:hAnsi="仿宋" w:eastAsia="仿宋" w:cs="仿宋"/>
          <w:color w:val="auto"/>
          <w:sz w:val="24"/>
          <w:szCs w:val="24"/>
          <w:lang w:eastAsia="zh-CN"/>
        </w:rPr>
        <w:t xml:space="preserve">    （二）法定代表人身份证明书（格式）</w:t>
      </w:r>
    </w:p>
    <w:p w14:paraId="4B0D896B">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询价项目名称：</w:t>
      </w:r>
    </w:p>
    <w:p w14:paraId="615DA53C">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（采购人名称）</w:t>
      </w:r>
    </w:p>
    <w:p w14:paraId="6098E70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（法定代表人姓名），</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（性别），在</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（供应商名称）任</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（职务名称）职务，是</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（供应商名称） 的法定代表人。</w:t>
      </w:r>
    </w:p>
    <w:p w14:paraId="64E4F261">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特此证明。</w:t>
      </w:r>
    </w:p>
    <w:p w14:paraId="3E335B77">
      <w:pPr>
        <w:spacing w:line="360" w:lineRule="auto"/>
        <w:jc w:val="both"/>
        <w:rPr>
          <w:rFonts w:hint="eastAsia" w:ascii="仿宋" w:hAnsi="仿宋" w:eastAsia="仿宋" w:cs="仿宋"/>
          <w:color w:val="auto"/>
          <w:sz w:val="24"/>
          <w:szCs w:val="24"/>
          <w:lang w:eastAsia="zh-CN"/>
        </w:rPr>
      </w:pPr>
    </w:p>
    <w:p w14:paraId="5348B11B">
      <w:pPr>
        <w:spacing w:line="360" w:lineRule="auto"/>
        <w:jc w:val="both"/>
        <w:rPr>
          <w:rFonts w:hint="eastAsia" w:ascii="仿宋" w:hAnsi="仿宋" w:eastAsia="仿宋" w:cs="仿宋"/>
          <w:color w:val="auto"/>
          <w:sz w:val="24"/>
          <w:szCs w:val="24"/>
          <w:lang w:eastAsia="zh-CN"/>
        </w:rPr>
      </w:pPr>
    </w:p>
    <w:p w14:paraId="26BF4096">
      <w:pPr>
        <w:spacing w:line="360" w:lineRule="auto"/>
        <w:jc w:val="both"/>
        <w:rPr>
          <w:rFonts w:hint="eastAsia" w:ascii="仿宋" w:hAnsi="仿宋" w:eastAsia="仿宋" w:cs="仿宋"/>
          <w:color w:val="auto"/>
          <w:sz w:val="24"/>
          <w:szCs w:val="24"/>
          <w:lang w:eastAsia="zh-CN"/>
        </w:rPr>
      </w:pPr>
    </w:p>
    <w:p w14:paraId="121D83ED">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（供应商公章）</w:t>
      </w:r>
    </w:p>
    <w:p w14:paraId="115ACEE0">
      <w:pPr>
        <w:spacing w:line="360" w:lineRule="auto"/>
        <w:jc w:val="both"/>
        <w:rPr>
          <w:rFonts w:hint="eastAsia" w:ascii="仿宋" w:hAnsi="仿宋" w:eastAsia="仿宋" w:cs="仿宋"/>
          <w:color w:val="auto"/>
          <w:sz w:val="24"/>
          <w:szCs w:val="24"/>
          <w:lang w:eastAsia="zh-CN"/>
        </w:rPr>
      </w:pPr>
    </w:p>
    <w:p w14:paraId="63BF2E8E">
      <w:pPr>
        <w:spacing w:line="360" w:lineRule="auto"/>
        <w:ind w:firstLine="48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3869ECDB">
      <w:pPr>
        <w:spacing w:line="360" w:lineRule="auto"/>
        <w:jc w:val="both"/>
        <w:rPr>
          <w:rFonts w:hint="eastAsia" w:ascii="仿宋" w:hAnsi="仿宋" w:eastAsia="仿宋" w:cs="仿宋"/>
          <w:color w:val="auto"/>
          <w:sz w:val="24"/>
          <w:szCs w:val="24"/>
          <w:lang w:eastAsia="zh-CN"/>
        </w:rPr>
      </w:pPr>
    </w:p>
    <w:p w14:paraId="52B05D48">
      <w:pPr>
        <w:spacing w:line="360" w:lineRule="auto"/>
        <w:jc w:val="both"/>
        <w:rPr>
          <w:rFonts w:hint="eastAsia" w:ascii="仿宋" w:hAnsi="仿宋" w:eastAsia="仿宋" w:cs="仿宋"/>
          <w:color w:val="auto"/>
          <w:sz w:val="24"/>
          <w:szCs w:val="24"/>
          <w:lang w:eastAsia="zh-CN"/>
        </w:rPr>
      </w:pPr>
    </w:p>
    <w:p w14:paraId="52F7772F">
      <w:pPr>
        <w:spacing w:line="360" w:lineRule="auto"/>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 xml:space="preserve">     法定代表人电话：</w:t>
      </w:r>
      <w:r>
        <w:rPr>
          <w:rFonts w:hint="eastAsia" w:ascii="仿宋" w:hAnsi="仿宋" w:eastAsia="仿宋" w:cs="仿宋"/>
          <w:color w:val="auto"/>
          <w:sz w:val="24"/>
          <w:szCs w:val="24"/>
          <w:u w:val="single"/>
          <w:lang w:eastAsia="zh-CN"/>
        </w:rPr>
        <w:t xml:space="preserve">           </w:t>
      </w:r>
    </w:p>
    <w:p w14:paraId="7AA432B8">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电子邮箱：</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（若授权他人办理并签署响应文件的可不填写）</w:t>
      </w:r>
    </w:p>
    <w:p w14:paraId="083AA539">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（附：法定代表人身份证正反面复印件）</w:t>
      </w:r>
    </w:p>
    <w:p w14:paraId="4CE1303B">
      <w:pPr>
        <w:spacing w:line="360" w:lineRule="auto"/>
        <w:jc w:val="both"/>
        <w:rPr>
          <w:rFonts w:hint="eastAsia" w:ascii="仿宋" w:hAnsi="仿宋" w:eastAsia="仿宋" w:cs="仿宋"/>
          <w:color w:val="auto"/>
          <w:sz w:val="24"/>
          <w:szCs w:val="24"/>
          <w:lang w:eastAsia="zh-CN"/>
        </w:rPr>
      </w:pPr>
    </w:p>
    <w:p w14:paraId="76042DEF">
      <w:pPr>
        <w:spacing w:line="360" w:lineRule="auto"/>
        <w:jc w:val="both"/>
        <w:rPr>
          <w:rFonts w:hint="eastAsia" w:ascii="仿宋" w:hAnsi="仿宋" w:eastAsia="仿宋" w:cs="仿宋"/>
          <w:color w:val="auto"/>
          <w:sz w:val="24"/>
          <w:szCs w:val="24"/>
          <w:lang w:eastAsia="zh-CN"/>
        </w:rPr>
      </w:pPr>
    </w:p>
    <w:p w14:paraId="19631640">
      <w:pPr>
        <w:spacing w:line="360" w:lineRule="auto"/>
        <w:jc w:val="both"/>
        <w:rPr>
          <w:rFonts w:hint="eastAsia" w:ascii="仿宋" w:hAnsi="仿宋" w:eastAsia="仿宋" w:cs="仿宋"/>
          <w:color w:val="auto"/>
          <w:sz w:val="24"/>
          <w:szCs w:val="24"/>
          <w:lang w:eastAsia="zh-CN"/>
        </w:rPr>
      </w:pPr>
    </w:p>
    <w:p w14:paraId="0959426F">
      <w:pPr>
        <w:spacing w:line="360" w:lineRule="auto"/>
        <w:jc w:val="both"/>
        <w:rPr>
          <w:rFonts w:hint="eastAsia" w:ascii="仿宋" w:hAnsi="仿宋" w:eastAsia="仿宋" w:cs="仿宋"/>
          <w:color w:val="auto"/>
          <w:sz w:val="24"/>
          <w:szCs w:val="24"/>
          <w:lang w:eastAsia="zh-CN"/>
        </w:rPr>
      </w:pPr>
    </w:p>
    <w:p w14:paraId="4056641B">
      <w:pPr>
        <w:spacing w:line="360" w:lineRule="auto"/>
        <w:jc w:val="both"/>
        <w:rPr>
          <w:rFonts w:hint="eastAsia" w:ascii="仿宋" w:hAnsi="仿宋" w:eastAsia="仿宋" w:cs="仿宋"/>
          <w:color w:val="auto"/>
          <w:sz w:val="24"/>
          <w:szCs w:val="24"/>
          <w:lang w:eastAsia="zh-CN"/>
        </w:rPr>
      </w:pPr>
    </w:p>
    <w:p w14:paraId="4D4B3A19">
      <w:pPr>
        <w:spacing w:line="360" w:lineRule="auto"/>
        <w:jc w:val="both"/>
        <w:rPr>
          <w:rFonts w:hint="eastAsia" w:ascii="仿宋" w:hAnsi="仿宋" w:eastAsia="仿宋" w:cs="仿宋"/>
          <w:color w:val="auto"/>
          <w:sz w:val="24"/>
          <w:szCs w:val="24"/>
          <w:lang w:eastAsia="zh-CN"/>
        </w:rPr>
      </w:pPr>
    </w:p>
    <w:p w14:paraId="5A00A633">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column"/>
      </w:r>
      <w:r>
        <w:rPr>
          <w:rFonts w:hint="eastAsia" w:ascii="仿宋" w:hAnsi="仿宋" w:eastAsia="仿宋" w:cs="仿宋"/>
          <w:color w:val="auto"/>
          <w:sz w:val="24"/>
          <w:szCs w:val="24"/>
          <w:lang w:eastAsia="zh-CN"/>
        </w:rPr>
        <w:t xml:space="preserve">    （三）法定代表人授权委托书（格式）</w:t>
      </w:r>
    </w:p>
    <w:p w14:paraId="65F4D98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询价项目名称：</w:t>
      </w:r>
    </w:p>
    <w:p w14:paraId="7D4AED0E">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（采购人名称）</w:t>
      </w:r>
    </w:p>
    <w:p w14:paraId="3E753570">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（供应商法定代表人名称）是</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（供应商名称）的法定代表人，特授权</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（被授权人姓名及身份证代码）代表我单位全权办理上述项目的报价、签约等具体工作，并签署全部有关文件、协议及合同。</w:t>
      </w:r>
    </w:p>
    <w:p w14:paraId="318FCD3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我单位对被授权人的签署负全部责任。</w:t>
      </w:r>
    </w:p>
    <w:p w14:paraId="74BFEA40">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在撤销授权的书面通知以前，本授权书一直有效。被授权人在授权书有效期内签署的所有文件不因授权的撤销而失效。</w:t>
      </w:r>
    </w:p>
    <w:p w14:paraId="018A9975">
      <w:pPr>
        <w:spacing w:line="360" w:lineRule="auto"/>
        <w:ind w:firstLine="480"/>
        <w:jc w:val="both"/>
        <w:rPr>
          <w:rFonts w:hint="eastAsia" w:ascii="仿宋" w:hAnsi="仿宋" w:eastAsia="仿宋" w:cs="仿宋"/>
          <w:color w:val="auto"/>
          <w:sz w:val="24"/>
          <w:szCs w:val="24"/>
          <w:lang w:eastAsia="zh-CN"/>
        </w:rPr>
      </w:pPr>
    </w:p>
    <w:p w14:paraId="3D2DC8E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被授权人：                       供应商法定代表人：</w:t>
      </w:r>
    </w:p>
    <w:p w14:paraId="20808CD3">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（签名或盖章）                   （签名或盖章）</w:t>
      </w:r>
    </w:p>
    <w:p w14:paraId="7EA75038">
      <w:pPr>
        <w:spacing w:line="360" w:lineRule="auto"/>
        <w:jc w:val="both"/>
        <w:rPr>
          <w:rFonts w:hint="eastAsia" w:ascii="仿宋" w:hAnsi="仿宋" w:eastAsia="仿宋" w:cs="仿宋"/>
          <w:color w:val="auto"/>
          <w:sz w:val="24"/>
          <w:szCs w:val="24"/>
          <w:lang w:eastAsia="zh-CN"/>
        </w:rPr>
      </w:pPr>
    </w:p>
    <w:p w14:paraId="73BD5ED0">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（附：被授权人身份证正反面复印件）</w:t>
      </w:r>
    </w:p>
    <w:p w14:paraId="42EB561C">
      <w:pPr>
        <w:spacing w:line="360" w:lineRule="auto"/>
        <w:jc w:val="both"/>
        <w:rPr>
          <w:rFonts w:hint="eastAsia" w:ascii="仿宋" w:hAnsi="仿宋" w:eastAsia="仿宋" w:cs="仿宋"/>
          <w:color w:val="auto"/>
          <w:sz w:val="24"/>
          <w:szCs w:val="24"/>
          <w:lang w:eastAsia="zh-CN"/>
        </w:rPr>
      </w:pPr>
    </w:p>
    <w:p w14:paraId="59535673">
      <w:pPr>
        <w:spacing w:line="360" w:lineRule="auto"/>
        <w:jc w:val="both"/>
        <w:rPr>
          <w:rFonts w:hint="eastAsia" w:ascii="仿宋" w:hAnsi="仿宋" w:eastAsia="仿宋" w:cs="仿宋"/>
          <w:color w:val="auto"/>
          <w:sz w:val="24"/>
          <w:szCs w:val="24"/>
          <w:lang w:eastAsia="zh-CN"/>
        </w:rPr>
      </w:pPr>
    </w:p>
    <w:p w14:paraId="6D28514B">
      <w:pPr>
        <w:spacing w:line="360" w:lineRule="auto"/>
        <w:jc w:val="both"/>
        <w:rPr>
          <w:rFonts w:hint="eastAsia" w:ascii="仿宋" w:hAnsi="仿宋" w:eastAsia="仿宋" w:cs="仿宋"/>
          <w:color w:val="auto"/>
          <w:sz w:val="24"/>
          <w:szCs w:val="24"/>
          <w:lang w:eastAsia="zh-CN"/>
        </w:rPr>
      </w:pPr>
    </w:p>
    <w:p w14:paraId="3EC38A14">
      <w:pPr>
        <w:spacing w:line="360" w:lineRule="auto"/>
        <w:jc w:val="both"/>
        <w:rPr>
          <w:rFonts w:hint="eastAsia" w:ascii="仿宋" w:hAnsi="仿宋" w:eastAsia="仿宋" w:cs="仿宋"/>
          <w:color w:val="auto"/>
          <w:sz w:val="24"/>
          <w:szCs w:val="24"/>
          <w:lang w:eastAsia="zh-CN"/>
        </w:rPr>
      </w:pPr>
    </w:p>
    <w:p w14:paraId="6E950764">
      <w:pPr>
        <w:spacing w:line="360" w:lineRule="auto"/>
        <w:jc w:val="both"/>
        <w:rPr>
          <w:rFonts w:hint="eastAsia" w:ascii="仿宋" w:hAnsi="仿宋" w:eastAsia="仿宋" w:cs="仿宋"/>
          <w:color w:val="auto"/>
          <w:sz w:val="24"/>
          <w:szCs w:val="24"/>
          <w:lang w:eastAsia="zh-CN"/>
        </w:rPr>
      </w:pPr>
    </w:p>
    <w:p w14:paraId="66497745">
      <w:pPr>
        <w:spacing w:line="360" w:lineRule="auto"/>
        <w:jc w:val="both"/>
        <w:rPr>
          <w:rFonts w:hint="eastAsia" w:ascii="仿宋" w:hAnsi="仿宋" w:eastAsia="仿宋" w:cs="仿宋"/>
          <w:color w:val="auto"/>
          <w:sz w:val="24"/>
          <w:szCs w:val="24"/>
          <w:lang w:eastAsia="zh-CN"/>
        </w:rPr>
      </w:pPr>
    </w:p>
    <w:p w14:paraId="2B717A4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（供应商公章）</w:t>
      </w:r>
    </w:p>
    <w:p w14:paraId="3B6D5C20">
      <w:pPr>
        <w:spacing w:line="360" w:lineRule="auto"/>
        <w:jc w:val="both"/>
        <w:rPr>
          <w:rFonts w:hint="eastAsia" w:ascii="仿宋" w:hAnsi="仿宋" w:eastAsia="仿宋" w:cs="仿宋"/>
          <w:color w:val="auto"/>
          <w:sz w:val="24"/>
          <w:szCs w:val="24"/>
          <w:lang w:eastAsia="zh-CN"/>
        </w:rPr>
      </w:pPr>
    </w:p>
    <w:p w14:paraId="6D73F909">
      <w:pPr>
        <w:spacing w:line="360" w:lineRule="auto"/>
        <w:ind w:firstLine="48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1525BE11">
      <w:pPr>
        <w:spacing w:line="360" w:lineRule="auto"/>
        <w:jc w:val="both"/>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 xml:space="preserve">    被授权人电话：</w:t>
      </w:r>
      <w:r>
        <w:rPr>
          <w:rFonts w:hint="eastAsia" w:ascii="仿宋" w:hAnsi="仿宋" w:eastAsia="仿宋" w:cs="仿宋"/>
          <w:color w:val="auto"/>
          <w:sz w:val="24"/>
          <w:szCs w:val="24"/>
          <w:u w:val="single"/>
          <w:lang w:eastAsia="zh-CN"/>
        </w:rPr>
        <w:t xml:space="preserve">            </w:t>
      </w:r>
    </w:p>
    <w:p w14:paraId="63F945F3">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电子邮箱：</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（若法定代表人办理并签署响应文件的可不填写）</w:t>
      </w:r>
    </w:p>
    <w:p w14:paraId="6CFD68D2">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w:t>
      </w:r>
    </w:p>
    <w:p w14:paraId="50AB2F8F">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1.若为法定代表人办理并签署响应文件的，不提供此文件。</w:t>
      </w:r>
    </w:p>
    <w:p w14:paraId="524C50BF">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2.若为联合体参与的，法定代表人授权委托书由联合体主办方（主体）出具。</w:t>
      </w:r>
    </w:p>
    <w:p w14:paraId="54C29A62">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column"/>
      </w:r>
      <w:r>
        <w:rPr>
          <w:rFonts w:hint="eastAsia" w:ascii="仿宋" w:hAnsi="仿宋" w:eastAsia="仿宋" w:cs="仿宋"/>
          <w:color w:val="auto"/>
          <w:sz w:val="24"/>
          <w:szCs w:val="24"/>
          <w:lang w:eastAsia="zh-CN"/>
        </w:rPr>
        <w:t xml:space="preserve">    （四）基本资格条件承诺函（格式）</w:t>
      </w:r>
    </w:p>
    <w:p w14:paraId="48A98A20">
      <w:pPr>
        <w:spacing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基本资格条件承诺函</w:t>
      </w:r>
    </w:p>
    <w:p w14:paraId="2B24D660">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（采购人名称）：</w:t>
      </w:r>
    </w:p>
    <w:p w14:paraId="3F40F82B">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（供应商名称）郑重承诺：</w:t>
      </w:r>
    </w:p>
    <w:p w14:paraId="3A7D548D">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1.我方具有良好的商业信誉和健全的财务会计制度，具有履行合同所必需的设备和专业技术能力，具</w:t>
      </w:r>
      <w:r>
        <w:rPr>
          <w:rFonts w:hint="eastAsia" w:ascii="仿宋" w:hAnsi="仿宋" w:eastAsia="仿宋" w:cs="仿宋"/>
          <w:color w:val="auto"/>
          <w:sz w:val="24"/>
          <w:szCs w:val="24"/>
          <w:lang w:val="zh-CN" w:eastAsia="zh-CN"/>
        </w:rPr>
        <w:t>有依法纳税和缴纳社会保障金的良好记录</w:t>
      </w:r>
      <w:r>
        <w:rPr>
          <w:rFonts w:hint="eastAsia" w:ascii="仿宋" w:hAnsi="仿宋" w:eastAsia="仿宋" w:cs="仿宋"/>
          <w:color w:val="auto"/>
          <w:sz w:val="24"/>
          <w:szCs w:val="24"/>
          <w:lang w:eastAsia="zh-CN"/>
        </w:rPr>
        <w:t>，参加本项目采购活动前3年内无重大违法活动记录。</w:t>
      </w:r>
    </w:p>
    <w:p w14:paraId="75217146">
      <w:pPr>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我方未列入在信用中国网站（www.creditchina.gov.cn）“失信被执行人”、“重大税收违法案件当事人名单”中，也未列入中国政府采购网（www.ccgp.gov.cn）“政府采购严重违法失信行为记录名单”中。</w:t>
      </w:r>
    </w:p>
    <w:p w14:paraId="1F03724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3.我方在采购项目评审（评标）环节结束后，随时接受采购人的检查验证，配合提供相关证明材料，证明符合规定的供应商基本资格条件。</w:t>
      </w:r>
    </w:p>
    <w:p w14:paraId="624404B4">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我方对以上承诺负全部法律责任。</w:t>
      </w:r>
    </w:p>
    <w:p w14:paraId="66755158">
      <w:pPr>
        <w:spacing w:line="360" w:lineRule="auto"/>
        <w:ind w:firstLine="48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特此承诺。</w:t>
      </w:r>
    </w:p>
    <w:p w14:paraId="3DBE82A6">
      <w:pPr>
        <w:spacing w:line="360" w:lineRule="auto"/>
        <w:ind w:firstLine="480"/>
        <w:jc w:val="both"/>
        <w:rPr>
          <w:rFonts w:hint="eastAsia" w:ascii="仿宋" w:hAnsi="仿宋" w:eastAsia="仿宋" w:cs="仿宋"/>
          <w:color w:val="auto"/>
          <w:sz w:val="24"/>
          <w:szCs w:val="24"/>
          <w:lang w:eastAsia="zh-CN"/>
        </w:rPr>
      </w:pPr>
    </w:p>
    <w:p w14:paraId="50A6E070">
      <w:pPr>
        <w:spacing w:line="360" w:lineRule="auto"/>
        <w:ind w:firstLine="480"/>
        <w:jc w:val="both"/>
        <w:rPr>
          <w:rFonts w:hint="eastAsia" w:ascii="仿宋" w:hAnsi="仿宋" w:eastAsia="仿宋" w:cs="仿宋"/>
          <w:color w:val="auto"/>
          <w:sz w:val="24"/>
          <w:szCs w:val="24"/>
          <w:lang w:eastAsia="zh-CN"/>
        </w:rPr>
      </w:pPr>
    </w:p>
    <w:p w14:paraId="2CFD0321">
      <w:pPr>
        <w:spacing w:line="360" w:lineRule="auto"/>
        <w:jc w:val="both"/>
        <w:rPr>
          <w:rFonts w:hint="eastAsia" w:ascii="仿宋" w:hAnsi="仿宋" w:eastAsia="仿宋" w:cs="仿宋"/>
          <w:color w:val="auto"/>
          <w:sz w:val="24"/>
          <w:szCs w:val="24"/>
          <w:lang w:eastAsia="zh-CN"/>
        </w:rPr>
      </w:pPr>
    </w:p>
    <w:p w14:paraId="016DC5AF">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（供应商公章）</w:t>
      </w:r>
    </w:p>
    <w:p w14:paraId="6B4582FE">
      <w:pPr>
        <w:spacing w:line="360" w:lineRule="auto"/>
        <w:ind w:firstLine="480"/>
        <w:jc w:val="righ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2025年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p>
    <w:p w14:paraId="64BF41DC">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r>
        <w:rPr>
          <w:rFonts w:hint="eastAsia" w:ascii="仿宋" w:hAnsi="仿宋" w:eastAsia="仿宋" w:cs="仿宋"/>
          <w:color w:val="auto"/>
          <w:sz w:val="24"/>
          <w:szCs w:val="24"/>
          <w:lang w:eastAsia="zh-CN"/>
        </w:rPr>
        <w:t xml:space="preserve">    （五）特定资格条件证书或证明文件</w:t>
      </w:r>
    </w:p>
    <w:p w14:paraId="184E7668">
      <w:pPr>
        <w:spacing w:line="360" w:lineRule="auto"/>
        <w:jc w:val="both"/>
        <w:rPr>
          <w:rFonts w:hint="eastAsia" w:ascii="仿宋" w:hAnsi="仿宋" w:eastAsia="仿宋" w:cs="仿宋"/>
          <w:color w:val="auto"/>
          <w:sz w:val="24"/>
          <w:szCs w:val="24"/>
          <w:lang w:eastAsia="zh-CN"/>
        </w:rPr>
      </w:pPr>
    </w:p>
    <w:p w14:paraId="15213353">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br w:type="page"/>
      </w:r>
      <w:bookmarkStart w:id="283" w:name="_Toc17010"/>
      <w:bookmarkStart w:id="284" w:name="_Toc65660383"/>
      <w:bookmarkStart w:id="285" w:name="_Toc106034812"/>
      <w:bookmarkStart w:id="286" w:name="_Toc2080"/>
      <w:bookmarkStart w:id="287" w:name="_Toc15815"/>
      <w:r>
        <w:rPr>
          <w:rFonts w:hint="eastAsia" w:ascii="仿宋" w:hAnsi="仿宋" w:eastAsia="仿宋" w:cs="仿宋"/>
          <w:color w:val="auto"/>
          <w:sz w:val="24"/>
          <w:szCs w:val="24"/>
          <w:lang w:eastAsia="zh-CN"/>
        </w:rPr>
        <w:t xml:space="preserve">    五、</w:t>
      </w:r>
      <w:bookmarkEnd w:id="280"/>
      <w:bookmarkEnd w:id="281"/>
      <w:bookmarkEnd w:id="282"/>
      <w:r>
        <w:rPr>
          <w:rFonts w:hint="eastAsia" w:ascii="仿宋" w:hAnsi="仿宋" w:eastAsia="仿宋" w:cs="仿宋"/>
          <w:color w:val="auto"/>
          <w:sz w:val="24"/>
          <w:szCs w:val="24"/>
          <w:lang w:eastAsia="zh-CN"/>
        </w:rPr>
        <w:t>其他资料</w:t>
      </w:r>
      <w:bookmarkEnd w:id="283"/>
      <w:bookmarkEnd w:id="284"/>
      <w:bookmarkEnd w:id="285"/>
      <w:bookmarkEnd w:id="286"/>
      <w:bookmarkEnd w:id="287"/>
    </w:p>
    <w:p w14:paraId="35BAABD4">
      <w:pPr>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（一）其他与项目有关的资料（自附）</w:t>
      </w:r>
    </w:p>
    <w:p w14:paraId="555EB217">
      <w:pPr>
        <w:spacing w:line="360" w:lineRule="auto"/>
        <w:jc w:val="both"/>
        <w:rPr>
          <w:rFonts w:hint="eastAsia" w:ascii="仿宋" w:hAnsi="仿宋" w:eastAsia="仿宋" w:cs="仿宋"/>
          <w:color w:val="auto"/>
          <w:sz w:val="24"/>
          <w:szCs w:val="24"/>
          <w:lang w:eastAsia="zh-CN"/>
        </w:rPr>
      </w:pPr>
    </w:p>
    <w:p w14:paraId="2CE30089">
      <w:pPr>
        <w:spacing w:line="360" w:lineRule="auto"/>
        <w:jc w:val="both"/>
        <w:rPr>
          <w:rFonts w:hint="eastAsia" w:ascii="仿宋" w:hAnsi="仿宋" w:eastAsia="仿宋" w:cs="仿宋"/>
          <w:color w:val="auto"/>
          <w:sz w:val="24"/>
          <w:szCs w:val="24"/>
          <w:lang w:eastAsia="zh-CN"/>
        </w:rPr>
      </w:pPr>
    </w:p>
    <w:p w14:paraId="1B985BFE">
      <w:pPr>
        <w:spacing w:line="360" w:lineRule="auto"/>
        <w:jc w:val="both"/>
        <w:rPr>
          <w:rFonts w:hint="eastAsia" w:ascii="仿宋" w:hAnsi="仿宋" w:eastAsia="仿宋" w:cs="仿宋"/>
          <w:color w:val="auto"/>
          <w:sz w:val="24"/>
          <w:szCs w:val="24"/>
          <w:lang w:eastAsia="zh-CN"/>
        </w:rPr>
      </w:pPr>
    </w:p>
    <w:p w14:paraId="3F0DD90B">
      <w:pPr>
        <w:spacing w:line="360" w:lineRule="auto"/>
        <w:jc w:val="both"/>
        <w:rPr>
          <w:rFonts w:hint="eastAsia" w:ascii="仿宋" w:hAnsi="仿宋" w:eastAsia="仿宋" w:cs="仿宋"/>
          <w:color w:val="auto"/>
          <w:sz w:val="24"/>
          <w:szCs w:val="24"/>
          <w:lang w:eastAsia="zh-CN"/>
        </w:rPr>
      </w:pPr>
    </w:p>
    <w:p w14:paraId="114C5690">
      <w:pPr>
        <w:spacing w:line="360" w:lineRule="auto"/>
        <w:jc w:val="both"/>
        <w:rPr>
          <w:rFonts w:hint="eastAsia" w:ascii="仿宋" w:hAnsi="仿宋" w:eastAsia="仿宋" w:cs="仿宋"/>
          <w:color w:val="auto"/>
          <w:sz w:val="24"/>
          <w:szCs w:val="24"/>
          <w:lang w:eastAsia="zh-CN"/>
        </w:rPr>
      </w:pPr>
    </w:p>
    <w:p w14:paraId="38A18471">
      <w:pPr>
        <w:spacing w:line="360" w:lineRule="auto"/>
        <w:jc w:val="both"/>
        <w:rPr>
          <w:rFonts w:hint="eastAsia" w:ascii="仿宋" w:hAnsi="仿宋" w:eastAsia="仿宋" w:cs="仿宋"/>
          <w:color w:val="auto"/>
          <w:sz w:val="24"/>
          <w:szCs w:val="24"/>
          <w:lang w:eastAsia="zh-CN"/>
        </w:rPr>
      </w:pPr>
    </w:p>
    <w:p w14:paraId="2762AA62">
      <w:pPr>
        <w:spacing w:line="360" w:lineRule="auto"/>
        <w:jc w:val="both"/>
        <w:rPr>
          <w:rFonts w:hint="eastAsia" w:ascii="仿宋" w:hAnsi="仿宋" w:eastAsia="仿宋" w:cs="仿宋"/>
          <w:color w:val="auto"/>
          <w:sz w:val="24"/>
          <w:szCs w:val="24"/>
          <w:lang w:eastAsia="zh-CN"/>
        </w:rPr>
      </w:pPr>
    </w:p>
    <w:p w14:paraId="0F2F4872">
      <w:pPr>
        <w:spacing w:line="360" w:lineRule="auto"/>
        <w:jc w:val="both"/>
        <w:rPr>
          <w:rFonts w:hint="eastAsia" w:ascii="仿宋" w:hAnsi="仿宋" w:eastAsia="仿宋" w:cs="仿宋"/>
          <w:color w:val="auto"/>
          <w:sz w:val="24"/>
          <w:szCs w:val="24"/>
          <w:lang w:eastAsia="zh-CN"/>
        </w:rPr>
      </w:pPr>
    </w:p>
    <w:p w14:paraId="23FB04E6">
      <w:pPr>
        <w:spacing w:line="360" w:lineRule="auto"/>
        <w:jc w:val="both"/>
        <w:rPr>
          <w:rFonts w:hint="eastAsia" w:ascii="仿宋" w:hAnsi="仿宋" w:eastAsia="仿宋" w:cs="仿宋"/>
          <w:color w:val="auto"/>
          <w:sz w:val="24"/>
          <w:szCs w:val="24"/>
          <w:lang w:eastAsia="zh-CN"/>
        </w:rPr>
      </w:pPr>
    </w:p>
    <w:p w14:paraId="6FF7A9F8">
      <w:pPr>
        <w:spacing w:line="360" w:lineRule="auto"/>
        <w:jc w:val="both"/>
        <w:rPr>
          <w:rFonts w:hint="eastAsia" w:ascii="仿宋" w:hAnsi="仿宋" w:eastAsia="仿宋" w:cs="仿宋"/>
          <w:color w:val="auto"/>
          <w:sz w:val="24"/>
          <w:szCs w:val="24"/>
          <w:lang w:eastAsia="zh-CN"/>
        </w:rPr>
      </w:pPr>
    </w:p>
    <w:p w14:paraId="0B4074B3">
      <w:pPr>
        <w:spacing w:line="360" w:lineRule="auto"/>
        <w:jc w:val="both"/>
        <w:rPr>
          <w:rFonts w:hint="eastAsia" w:ascii="仿宋" w:hAnsi="仿宋" w:eastAsia="仿宋" w:cs="仿宋"/>
          <w:color w:val="auto"/>
          <w:sz w:val="24"/>
          <w:szCs w:val="24"/>
          <w:lang w:eastAsia="zh-CN"/>
        </w:rPr>
      </w:pPr>
    </w:p>
    <w:p w14:paraId="42C9B631">
      <w:pPr>
        <w:spacing w:line="360" w:lineRule="auto"/>
        <w:jc w:val="both"/>
        <w:rPr>
          <w:rFonts w:hint="eastAsia" w:ascii="仿宋" w:hAnsi="仿宋" w:eastAsia="仿宋" w:cs="仿宋"/>
          <w:color w:val="auto"/>
          <w:sz w:val="24"/>
          <w:szCs w:val="24"/>
          <w:lang w:eastAsia="zh-CN"/>
        </w:rPr>
      </w:pPr>
    </w:p>
    <w:p w14:paraId="4F5F545C">
      <w:pPr>
        <w:spacing w:line="360" w:lineRule="auto"/>
        <w:jc w:val="both"/>
        <w:rPr>
          <w:rFonts w:hint="eastAsia" w:ascii="仿宋" w:hAnsi="仿宋" w:eastAsia="仿宋" w:cs="仿宋"/>
          <w:color w:val="auto"/>
          <w:sz w:val="24"/>
          <w:szCs w:val="24"/>
          <w:lang w:eastAsia="zh-CN"/>
        </w:rPr>
      </w:pPr>
    </w:p>
    <w:p w14:paraId="1734301B">
      <w:pPr>
        <w:spacing w:line="360" w:lineRule="auto"/>
        <w:jc w:val="both"/>
        <w:rPr>
          <w:rFonts w:hint="eastAsia" w:ascii="仿宋" w:hAnsi="仿宋" w:eastAsia="仿宋" w:cs="仿宋"/>
          <w:color w:val="auto"/>
          <w:sz w:val="24"/>
          <w:szCs w:val="24"/>
          <w:lang w:eastAsia="zh-CN"/>
        </w:rPr>
      </w:pPr>
    </w:p>
    <w:p w14:paraId="482637C0">
      <w:pPr>
        <w:spacing w:line="360" w:lineRule="auto"/>
        <w:jc w:val="both"/>
        <w:rPr>
          <w:rFonts w:hint="eastAsia" w:ascii="仿宋" w:hAnsi="仿宋" w:eastAsia="仿宋" w:cs="仿宋"/>
          <w:color w:val="auto"/>
          <w:sz w:val="24"/>
          <w:szCs w:val="24"/>
          <w:lang w:eastAsia="zh-CN"/>
        </w:rPr>
      </w:pPr>
    </w:p>
    <w:p w14:paraId="7D35A693">
      <w:pPr>
        <w:spacing w:line="360" w:lineRule="auto"/>
        <w:jc w:val="both"/>
        <w:rPr>
          <w:rFonts w:hint="eastAsia" w:ascii="仿宋" w:hAnsi="仿宋" w:eastAsia="仿宋" w:cs="仿宋"/>
          <w:color w:val="auto"/>
          <w:sz w:val="24"/>
          <w:szCs w:val="24"/>
          <w:lang w:eastAsia="zh-CN"/>
        </w:rPr>
      </w:pPr>
    </w:p>
    <w:p w14:paraId="0E444FD7">
      <w:pPr>
        <w:spacing w:line="360" w:lineRule="auto"/>
        <w:jc w:val="both"/>
        <w:rPr>
          <w:rFonts w:hint="eastAsia" w:ascii="仿宋" w:hAnsi="仿宋" w:eastAsia="仿宋" w:cs="仿宋"/>
          <w:color w:val="auto"/>
          <w:sz w:val="24"/>
          <w:szCs w:val="24"/>
          <w:lang w:eastAsia="zh-CN"/>
        </w:rPr>
      </w:pPr>
    </w:p>
    <w:p w14:paraId="6DB79716">
      <w:pPr>
        <w:spacing w:line="360" w:lineRule="auto"/>
        <w:jc w:val="both"/>
        <w:rPr>
          <w:rFonts w:hint="eastAsia" w:ascii="仿宋" w:hAnsi="仿宋" w:eastAsia="仿宋" w:cs="仿宋"/>
          <w:color w:val="auto"/>
          <w:sz w:val="24"/>
          <w:szCs w:val="24"/>
          <w:lang w:eastAsia="zh-CN"/>
        </w:rPr>
      </w:pPr>
    </w:p>
    <w:p w14:paraId="372C18BC">
      <w:pPr>
        <w:spacing w:line="360" w:lineRule="auto"/>
        <w:jc w:val="both"/>
        <w:rPr>
          <w:rFonts w:hint="eastAsia" w:ascii="仿宋" w:hAnsi="仿宋" w:eastAsia="仿宋" w:cs="仿宋"/>
          <w:color w:val="auto"/>
          <w:sz w:val="24"/>
          <w:szCs w:val="24"/>
          <w:lang w:eastAsia="zh-CN"/>
        </w:rPr>
      </w:pPr>
    </w:p>
    <w:p w14:paraId="31BDB3F2">
      <w:pPr>
        <w:spacing w:line="360" w:lineRule="auto"/>
        <w:jc w:val="both"/>
        <w:rPr>
          <w:rFonts w:hint="eastAsia" w:ascii="仿宋" w:hAnsi="仿宋" w:eastAsia="仿宋" w:cs="仿宋"/>
          <w:color w:val="auto"/>
          <w:sz w:val="24"/>
          <w:szCs w:val="24"/>
          <w:lang w:eastAsia="zh-CN"/>
        </w:rPr>
      </w:pPr>
    </w:p>
    <w:p w14:paraId="55AD27F9">
      <w:pPr>
        <w:spacing w:line="360" w:lineRule="auto"/>
        <w:jc w:val="both"/>
        <w:rPr>
          <w:rFonts w:hint="eastAsia" w:ascii="仿宋" w:hAnsi="仿宋" w:eastAsia="仿宋" w:cs="仿宋"/>
          <w:color w:val="auto"/>
          <w:sz w:val="24"/>
          <w:szCs w:val="24"/>
          <w:lang w:eastAsia="zh-CN"/>
        </w:rPr>
      </w:pPr>
    </w:p>
    <w:p w14:paraId="6EE36C39">
      <w:pPr>
        <w:spacing w:line="360" w:lineRule="auto"/>
        <w:jc w:val="both"/>
        <w:rPr>
          <w:rFonts w:hint="eastAsia" w:ascii="仿宋" w:hAnsi="仿宋" w:eastAsia="仿宋" w:cs="仿宋"/>
          <w:color w:val="auto"/>
          <w:sz w:val="24"/>
          <w:szCs w:val="24"/>
          <w:lang w:eastAsia="zh-CN"/>
        </w:rPr>
      </w:pPr>
    </w:p>
    <w:p w14:paraId="25BBAEB6">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（结束）</w:t>
      </w:r>
    </w:p>
    <w:p w14:paraId="2C2A3417">
      <w:pPr>
        <w:spacing w:line="360" w:lineRule="auto"/>
        <w:jc w:val="both"/>
        <w:rPr>
          <w:rFonts w:hint="eastAsia" w:ascii="仿宋" w:hAnsi="仿宋" w:eastAsia="仿宋" w:cs="仿宋"/>
          <w:color w:val="auto"/>
          <w:sz w:val="24"/>
          <w:szCs w:val="24"/>
        </w:rPr>
      </w:pPr>
    </w:p>
    <w:sectPr>
      <w:pgSz w:w="11907" w:h="16840"/>
      <w:pgMar w:top="1417" w:right="1417" w:bottom="1417" w:left="1417"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2078">
    <w:pPr>
      <w:spacing w:line="358" w:lineRule="exact"/>
      <w:ind w:left="4002"/>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30F6">
    <w:pPr>
      <w:spacing w:line="358" w:lineRule="exact"/>
      <w:ind w:left="447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44453">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57B44453">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6803">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9E3E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6659E3E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C4D0">
    <w:pPr>
      <w:spacing w:line="358" w:lineRule="exact"/>
      <w:ind w:left="405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23ECD">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09623ECD">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C586">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8EE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l4i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OXiICwCAABXBAAADgAAAAAAAAABACAAAAAfAQAAZHJzL2Uyb0RvYy54bWxQSwUGAAAAAAYA&#10;BgBZAQAAvQUAAAAA&#10;">
              <v:fill on="f" focussize="0,0"/>
              <v:stroke on="f" weight="0.5pt"/>
              <v:imagedata o:title=""/>
              <o:lock v:ext="edit" aspectratio="f"/>
              <v:textbox inset="0mm,0mm,0mm,0mm" style="mso-fit-shape-to-text:t;">
                <w:txbxContent>
                  <w:p w14:paraId="133D8EE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C761">
    <w:pPr>
      <w:pStyle w:val="12"/>
      <w:jc w:val="center"/>
      <w:rPr>
        <w:rFonts w:ascii="宋体" w:hAnsi="宋体"/>
        <w:sz w:val="21"/>
      </w:rPr>
    </w:pPr>
    <w:r>
      <w:rPr>
        <w:rFonts w:ascii="宋体" w:hAnsi="宋体"/>
        <w:sz w:val="21"/>
      </w:rPr>
      <w:fldChar w:fldCharType="begin"/>
    </w:r>
    <w:r>
      <w:rPr>
        <w:rStyle w:val="20"/>
        <w:rFonts w:ascii="宋体" w:hAnsi="宋体"/>
        <w:sz w:val="21"/>
      </w:rPr>
      <w:instrText xml:space="preserve"> PAGE </w:instrText>
    </w:r>
    <w:r>
      <w:rPr>
        <w:rFonts w:ascii="宋体" w:hAnsi="宋体"/>
        <w:sz w:val="21"/>
      </w:rPr>
      <w:fldChar w:fldCharType="separate"/>
    </w:r>
    <w:r>
      <w:rPr>
        <w:rStyle w:val="20"/>
        <w:rFonts w:ascii="宋体" w:hAnsi="宋体"/>
        <w:sz w:val="21"/>
      </w:rPr>
      <w:t>- 35 -</w:t>
    </w:r>
    <w:r>
      <w:rPr>
        <w:rFonts w:ascii="宋体" w:hAnsi="宋体"/>
        <w:sz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29FD">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- 20 -</w:t>
    </w:r>
    <w:r>
      <w:fldChar w:fldCharType="end"/>
    </w:r>
  </w:p>
  <w:p w14:paraId="1BCAB68A">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ED802"/>
    <w:multiLevelType w:val="singleLevel"/>
    <w:tmpl w:val="CD6ED802"/>
    <w:lvl w:ilvl="0" w:tentative="0">
      <w:start w:val="1"/>
      <w:numFmt w:val="decimal"/>
      <w:lvlText w:val="%1."/>
      <w:lvlJc w:val="left"/>
      <w:pPr>
        <w:tabs>
          <w:tab w:val="left" w:pos="312"/>
        </w:tabs>
      </w:pPr>
    </w:lvl>
  </w:abstractNum>
  <w:abstractNum w:abstractNumId="1">
    <w:nsid w:val="7A53FA2C"/>
    <w:multiLevelType w:val="singleLevel"/>
    <w:tmpl w:val="7A53FA2C"/>
    <w:lvl w:ilvl="0" w:tentative="0">
      <w:start w:val="3"/>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displayBackgroundShape w:val="1"/>
  <w:bordersDoNotSurroundHeader w:val="1"/>
  <w:bordersDoNotSurroundFooter w:val="1"/>
  <w:documentProtection w:enforcement="0"/>
  <w:defaultTabStop w:val="420"/>
  <w:evenAndOddHeaders w:val="1"/>
  <w:noPunctuationKerning w:val="1"/>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C9"/>
    <w:rsid w:val="000575E1"/>
    <w:rsid w:val="000C72F5"/>
    <w:rsid w:val="001569C9"/>
    <w:rsid w:val="002050CC"/>
    <w:rsid w:val="00242D28"/>
    <w:rsid w:val="002676AF"/>
    <w:rsid w:val="00526D1A"/>
    <w:rsid w:val="005B3FA4"/>
    <w:rsid w:val="00700988"/>
    <w:rsid w:val="007B51FF"/>
    <w:rsid w:val="009673A6"/>
    <w:rsid w:val="00AA64F9"/>
    <w:rsid w:val="00F64EF1"/>
    <w:rsid w:val="00FE7B3B"/>
    <w:rsid w:val="08112215"/>
    <w:rsid w:val="08940657"/>
    <w:rsid w:val="0A1C108A"/>
    <w:rsid w:val="0A580F87"/>
    <w:rsid w:val="0DEA58C6"/>
    <w:rsid w:val="105D4F49"/>
    <w:rsid w:val="1A5E5632"/>
    <w:rsid w:val="1A874408"/>
    <w:rsid w:val="1A945866"/>
    <w:rsid w:val="1B0912C3"/>
    <w:rsid w:val="1D894338"/>
    <w:rsid w:val="1DFF488E"/>
    <w:rsid w:val="1E0353CB"/>
    <w:rsid w:val="1E606C3A"/>
    <w:rsid w:val="21817226"/>
    <w:rsid w:val="218B3B8B"/>
    <w:rsid w:val="22295698"/>
    <w:rsid w:val="249D4726"/>
    <w:rsid w:val="276871E1"/>
    <w:rsid w:val="285A639B"/>
    <w:rsid w:val="29AF6870"/>
    <w:rsid w:val="2B9D6077"/>
    <w:rsid w:val="309061AB"/>
    <w:rsid w:val="33293C7A"/>
    <w:rsid w:val="35891EC6"/>
    <w:rsid w:val="36A77BAF"/>
    <w:rsid w:val="382B6E0B"/>
    <w:rsid w:val="39FA4695"/>
    <w:rsid w:val="3A2B29E4"/>
    <w:rsid w:val="3D3A69B3"/>
    <w:rsid w:val="3D4E508D"/>
    <w:rsid w:val="3FD31C10"/>
    <w:rsid w:val="422E0E25"/>
    <w:rsid w:val="45865AFC"/>
    <w:rsid w:val="483D5D04"/>
    <w:rsid w:val="4AC156B1"/>
    <w:rsid w:val="50F72364"/>
    <w:rsid w:val="53BD0B47"/>
    <w:rsid w:val="53C85B77"/>
    <w:rsid w:val="55AA0117"/>
    <w:rsid w:val="59E94C63"/>
    <w:rsid w:val="5CD5501B"/>
    <w:rsid w:val="60804D3F"/>
    <w:rsid w:val="60BA0DAE"/>
    <w:rsid w:val="630B71C5"/>
    <w:rsid w:val="63215441"/>
    <w:rsid w:val="63E40C13"/>
    <w:rsid w:val="668139A4"/>
    <w:rsid w:val="6BFB492C"/>
    <w:rsid w:val="6C4813E6"/>
    <w:rsid w:val="6C755C79"/>
    <w:rsid w:val="6C78769F"/>
    <w:rsid w:val="747C2500"/>
    <w:rsid w:val="76520976"/>
    <w:rsid w:val="770F372A"/>
    <w:rsid w:val="791E0FED"/>
    <w:rsid w:val="7D4B6A70"/>
    <w:rsid w:val="7FCF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unhideWhenUsed/>
    <w:qFormat/>
    <w:uiPriority w:val="0"/>
    <w:pPr>
      <w:keepNext/>
      <w:keepLines/>
      <w:spacing w:before="280" w:after="290" w:line="372" w:lineRule="auto"/>
      <w:outlineLvl w:val="3"/>
    </w:pPr>
    <w:rPr>
      <w:rFonts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pPr>
    <w:rPr>
      <w:rFonts w:ascii="Times New Roman" w:hAnsi="Times New Roman" w:eastAsia="宋体" w:cs="Times New Roman"/>
      <w:sz w:val="24"/>
    </w:rPr>
  </w:style>
  <w:style w:type="paragraph" w:styleId="7">
    <w:name w:val="Body Text"/>
    <w:basedOn w:val="1"/>
    <w:semiHidden/>
    <w:qFormat/>
    <w:uiPriority w:val="0"/>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rPr>
  </w:style>
  <w:style w:type="paragraph" w:styleId="10">
    <w:name w:val="Date"/>
    <w:basedOn w:val="1"/>
    <w:next w:val="1"/>
    <w:qFormat/>
    <w:uiPriority w:val="0"/>
  </w:style>
  <w:style w:type="paragraph" w:styleId="11">
    <w:name w:val="Body Text Indent 2"/>
    <w:basedOn w:val="1"/>
    <w:qFormat/>
    <w:uiPriority w:val="0"/>
    <w:pPr>
      <w:spacing w:line="560" w:lineRule="atLeast"/>
      <w:ind w:firstLine="540"/>
    </w:p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39"/>
    <w:pPr>
      <w:spacing w:line="180" w:lineRule="auto"/>
      <w:jc w:val="center"/>
    </w:pPr>
    <w:rPr>
      <w:sz w:val="30"/>
    </w:rPr>
  </w:style>
  <w:style w:type="paragraph" w:styleId="15">
    <w:name w:val="Normal (Web)"/>
    <w:basedOn w:val="1"/>
    <w:qFormat/>
    <w:uiPriority w:val="0"/>
    <w:rPr>
      <w:sz w:val="24"/>
      <w:szCs w:val="20"/>
    </w:rPr>
  </w:style>
  <w:style w:type="paragraph" w:styleId="16">
    <w:name w:val="Body Text First Indent"/>
    <w:basedOn w:val="7"/>
    <w:qFormat/>
    <w:uiPriority w:val="0"/>
    <w:pPr>
      <w:spacing w:line="360" w:lineRule="auto"/>
      <w:ind w:firstLine="420"/>
    </w:pPr>
    <w:rPr>
      <w:rFonts w:ascii="宋体" w:hAnsi="宋体"/>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rPr>
  </w:style>
  <w:style w:type="paragraph" w:customStyle="1" w:styleId="24">
    <w:name w:val="WPSOffice手动目录 1"/>
    <w:qFormat/>
    <w:uiPriority w:val="0"/>
    <w:rPr>
      <w:rFonts w:ascii="Arial" w:hAnsi="Arial" w:eastAsia="Arial" w:cs="Arial"/>
      <w:lang w:val="en-US" w:eastAsia="zh-CN" w:bidi="ar-SA"/>
    </w:rPr>
  </w:style>
  <w:style w:type="paragraph" w:customStyle="1" w:styleId="25">
    <w:name w:val="WPSOffice手动目录 2"/>
    <w:qFormat/>
    <w:uiPriority w:val="0"/>
    <w:pPr>
      <w:ind w:left="200" w:leftChars="200"/>
    </w:pPr>
    <w:rPr>
      <w:rFonts w:ascii="Arial" w:hAnsi="Arial" w:eastAsia="Arial" w:cs="Arial"/>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1"/>
    <w:basedOn w:val="1"/>
    <w:next w:val="9"/>
    <w:qFormat/>
    <w:uiPriority w:val="0"/>
    <w:rPr>
      <w:rFonts w:ascii="宋体" w:hAnsi="Courier New"/>
    </w:rPr>
  </w:style>
  <w:style w:type="paragraph" w:customStyle="1" w:styleId="28">
    <w:name w:val="Blockquote"/>
    <w:basedOn w:val="1"/>
    <w:qFormat/>
    <w:uiPriority w:val="0"/>
    <w:pPr>
      <w:spacing w:before="100" w:after="100"/>
      <w:ind w:left="360" w:right="36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118</Words>
  <Characters>138</Characters>
  <Lines>284</Lines>
  <Paragraphs>79</Paragraphs>
  <TotalTime>14</TotalTime>
  <ScaleCrop>false</ScaleCrop>
  <LinksUpToDate>false</LinksUpToDate>
  <CharactersWithSpaces>147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2025-07-02T07:52:00Z</dcterms:created>
  <dc:creator>lz</dc:creator>
  <cp:lastModifiedBy>秦老师</cp:lastModifiedBy>
  <cp:lastPrinted>2025-04-27T06:58:00Z</cp:lastPrinted>
  <dcterms:modified xsi:type="dcterms:W3CDTF">2025-07-02T11:26:41Z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2025-03-24T11:13:41Z</vt:filetime>
  </property>
  <property fmtid="{D5CDD505-2E9C-101B-9397-08002B2CF9AE}" pid="4" name="KSOTemplateDocerSaveRecord">
    <vt:lpwstr>eyJoZGlkIjoiMTQ1MjViMTYxN2JhZGMzZmJmZDM2YTAyZDMzMjFmZjQifQ==</vt:lpwstr>
  </property>
  <property fmtid="{D5CDD505-2E9C-101B-9397-08002B2CF9AE}" pid="5" name="KSOProductBuildVer">
    <vt:lpwstr>2052-12.1.0.21541</vt:lpwstr>
  </property>
  <property fmtid="{D5CDD505-2E9C-101B-9397-08002B2CF9AE}" pid="6" name="ICV">
    <vt:lpwstr>6FA0D6C8463049648BF6E617D10BACA3_13</vt:lpwstr>
  </property>
</Properties>
</file>