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D535A">
      <w:pPr>
        <w:pStyle w:val="2"/>
        <w:spacing w:line="267" w:lineRule="auto"/>
        <w:rPr>
          <w:highlight w:val="none"/>
        </w:rPr>
      </w:pPr>
    </w:p>
    <w:p w14:paraId="79E01B52">
      <w:pPr>
        <w:pStyle w:val="2"/>
        <w:spacing w:line="267" w:lineRule="auto"/>
        <w:rPr>
          <w:highlight w:val="none"/>
        </w:rPr>
      </w:pPr>
    </w:p>
    <w:p w14:paraId="2CF504F9">
      <w:pPr>
        <w:pStyle w:val="2"/>
        <w:spacing w:line="267" w:lineRule="auto"/>
        <w:rPr>
          <w:highlight w:val="none"/>
        </w:rPr>
      </w:pPr>
    </w:p>
    <w:p w14:paraId="66BD369E">
      <w:pPr>
        <w:pStyle w:val="2"/>
        <w:spacing w:line="268" w:lineRule="auto"/>
        <w:rPr>
          <w:highlight w:val="none"/>
        </w:rPr>
      </w:pPr>
    </w:p>
    <w:p w14:paraId="05F24F12">
      <w:pPr>
        <w:spacing w:before="364" w:line="219" w:lineRule="auto"/>
        <w:jc w:val="center"/>
        <w:outlineLvl w:val="0"/>
        <w:rPr>
          <w:rFonts w:ascii="宋体" w:hAnsi="宋体" w:eastAsia="宋体" w:cs="宋体"/>
          <w:sz w:val="96"/>
          <w:szCs w:val="96"/>
          <w:highlight w:val="none"/>
        </w:rPr>
      </w:pPr>
      <w:r>
        <w:rPr>
          <w:rFonts w:hint="eastAsia" w:ascii="方正小标宋_GBK" w:hAnsi="方正小标宋_GBK" w:eastAsia="方正小标宋_GBK" w:cs="方正小标宋_GBK"/>
          <w:b w:val="0"/>
          <w:bCs w:val="0"/>
          <w:spacing w:val="116"/>
          <w:sz w:val="96"/>
          <w:szCs w:val="96"/>
          <w:highlight w:val="none"/>
        </w:rPr>
        <w:t>竞争性比选</w:t>
      </w:r>
      <w:r>
        <w:rPr>
          <w:rFonts w:hint="eastAsia" w:ascii="方正小标宋_GBK" w:hAnsi="方正小标宋_GBK" w:eastAsia="方正小标宋_GBK" w:cs="方正小标宋_GBK"/>
          <w:b w:val="0"/>
          <w:bCs w:val="0"/>
          <w:spacing w:val="63"/>
          <w:sz w:val="96"/>
          <w:szCs w:val="96"/>
          <w:highlight w:val="none"/>
        </w:rPr>
        <w:t>文件</w:t>
      </w:r>
    </w:p>
    <w:p w14:paraId="59BFE14F">
      <w:pPr>
        <w:pStyle w:val="2"/>
        <w:spacing w:line="254" w:lineRule="auto"/>
        <w:rPr>
          <w:highlight w:val="none"/>
        </w:rPr>
      </w:pPr>
    </w:p>
    <w:p w14:paraId="6EB05A2C">
      <w:pPr>
        <w:pStyle w:val="2"/>
        <w:spacing w:line="254" w:lineRule="auto"/>
        <w:ind w:firstLine="2730" w:firstLineChars="1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（编号：CQIP-2025040902）</w:t>
      </w:r>
    </w:p>
    <w:p w14:paraId="2601DBF6">
      <w:pPr>
        <w:pStyle w:val="2"/>
        <w:spacing w:line="254" w:lineRule="auto"/>
        <w:rPr>
          <w:highlight w:val="none"/>
        </w:rPr>
      </w:pPr>
    </w:p>
    <w:p w14:paraId="31853042">
      <w:pPr>
        <w:pStyle w:val="2"/>
        <w:spacing w:line="254" w:lineRule="auto"/>
        <w:rPr>
          <w:highlight w:val="none"/>
        </w:rPr>
      </w:pPr>
    </w:p>
    <w:p w14:paraId="32025589">
      <w:pPr>
        <w:pStyle w:val="2"/>
        <w:spacing w:line="254" w:lineRule="auto"/>
        <w:rPr>
          <w:highlight w:val="none"/>
        </w:rPr>
      </w:pPr>
    </w:p>
    <w:p w14:paraId="1B01B262">
      <w:pPr>
        <w:pStyle w:val="2"/>
        <w:spacing w:line="254" w:lineRule="auto"/>
        <w:rPr>
          <w:highlight w:val="none"/>
        </w:rPr>
      </w:pPr>
    </w:p>
    <w:p w14:paraId="429780A3">
      <w:pPr>
        <w:pStyle w:val="2"/>
        <w:spacing w:line="254" w:lineRule="auto"/>
        <w:rPr>
          <w:highlight w:val="none"/>
        </w:rPr>
      </w:pPr>
      <w:bookmarkStart w:id="63" w:name="_GoBack"/>
      <w:bookmarkEnd w:id="63"/>
    </w:p>
    <w:p w14:paraId="29B30858">
      <w:pPr>
        <w:pStyle w:val="2"/>
        <w:spacing w:line="254" w:lineRule="auto"/>
        <w:rPr>
          <w:highlight w:val="none"/>
        </w:rPr>
      </w:pPr>
    </w:p>
    <w:p w14:paraId="5CCF1752">
      <w:pPr>
        <w:pStyle w:val="2"/>
        <w:spacing w:line="254" w:lineRule="auto"/>
        <w:rPr>
          <w:highlight w:val="none"/>
        </w:rPr>
      </w:pPr>
    </w:p>
    <w:p w14:paraId="11B43BC2">
      <w:pPr>
        <w:pStyle w:val="2"/>
        <w:spacing w:line="254" w:lineRule="auto"/>
        <w:rPr>
          <w:highlight w:val="none"/>
        </w:rPr>
      </w:pPr>
    </w:p>
    <w:p w14:paraId="423E7E0E">
      <w:pPr>
        <w:pStyle w:val="2"/>
        <w:spacing w:line="254" w:lineRule="auto"/>
        <w:rPr>
          <w:highlight w:val="none"/>
        </w:rPr>
      </w:pPr>
    </w:p>
    <w:p w14:paraId="29BE5789">
      <w:pPr>
        <w:pStyle w:val="2"/>
        <w:spacing w:line="254" w:lineRule="auto"/>
        <w:rPr>
          <w:highlight w:val="none"/>
        </w:rPr>
      </w:pPr>
    </w:p>
    <w:p w14:paraId="3CE42916">
      <w:pPr>
        <w:pStyle w:val="2"/>
        <w:spacing w:line="254" w:lineRule="auto"/>
        <w:rPr>
          <w:highlight w:val="none"/>
        </w:rPr>
      </w:pPr>
    </w:p>
    <w:p w14:paraId="077EB038">
      <w:pPr>
        <w:spacing w:before="101" w:line="403" w:lineRule="auto"/>
        <w:ind w:left="2542" w:leftChars="441" w:hanging="1616" w:hangingChars="500"/>
        <w:rPr>
          <w:rFonts w:hint="eastAsia" w:ascii="宋体" w:hAnsi="宋体" w:eastAsia="宋体" w:cs="宋体"/>
          <w:spacing w:val="6"/>
          <w:sz w:val="31"/>
          <w:szCs w:val="31"/>
          <w:highlight w:val="none"/>
          <w:lang w:eastAsia="zh-CN"/>
        </w:rPr>
      </w:pPr>
      <w:r>
        <w:rPr>
          <w:rFonts w:ascii="宋体" w:hAnsi="宋体" w:eastAsia="宋体" w:cs="宋体"/>
          <w:b/>
          <w:bCs/>
          <w:spacing w:val="6"/>
          <w:sz w:val="31"/>
          <w:szCs w:val="31"/>
          <w:highlight w:val="none"/>
        </w:rPr>
        <w:t>项目名称：</w:t>
      </w:r>
      <w:r>
        <w:rPr>
          <w:rFonts w:hint="eastAsia" w:ascii="宋体" w:hAnsi="宋体" w:eastAsia="宋体" w:cs="宋体"/>
          <w:spacing w:val="6"/>
          <w:sz w:val="31"/>
          <w:szCs w:val="31"/>
          <w:highlight w:val="none"/>
          <w:lang w:eastAsia="zh-CN"/>
        </w:rPr>
        <w:t>重庆理工职业学院 2025-2026 年零星维修入围采购（第</w:t>
      </w:r>
      <w:r>
        <w:rPr>
          <w:rFonts w:hint="eastAsia" w:ascii="宋体" w:hAnsi="宋体" w:eastAsia="宋体" w:cs="宋体"/>
          <w:spacing w:val="6"/>
          <w:sz w:val="31"/>
          <w:szCs w:val="31"/>
          <w:highlight w:val="none"/>
          <w:lang w:val="en-US" w:eastAsia="zh-CN"/>
        </w:rPr>
        <w:t>三</w:t>
      </w:r>
      <w:r>
        <w:rPr>
          <w:rFonts w:hint="eastAsia" w:ascii="宋体" w:hAnsi="宋体" w:eastAsia="宋体" w:cs="宋体"/>
          <w:spacing w:val="6"/>
          <w:sz w:val="31"/>
          <w:szCs w:val="31"/>
          <w:highlight w:val="none"/>
          <w:lang w:eastAsia="zh-CN"/>
        </w:rPr>
        <w:t>次）</w:t>
      </w:r>
    </w:p>
    <w:p w14:paraId="714D74F9">
      <w:pPr>
        <w:spacing w:before="101" w:line="403" w:lineRule="auto"/>
        <w:ind w:firstLine="976" w:firstLineChars="300"/>
        <w:rPr>
          <w:rFonts w:ascii="宋体" w:hAnsi="宋体" w:eastAsia="宋体" w:cs="宋体"/>
          <w:sz w:val="31"/>
          <w:szCs w:val="31"/>
          <w:highlight w:val="none"/>
        </w:rPr>
      </w:pPr>
      <w:r>
        <w:rPr>
          <w:rFonts w:ascii="宋体" w:hAnsi="宋体" w:eastAsia="宋体" w:cs="宋体"/>
          <w:b/>
          <w:bCs/>
          <w:spacing w:val="7"/>
          <w:sz w:val="31"/>
          <w:szCs w:val="31"/>
          <w:highlight w:val="none"/>
        </w:rPr>
        <w:t>采</w:t>
      </w:r>
      <w:r>
        <w:rPr>
          <w:rFonts w:ascii="宋体" w:hAnsi="宋体" w:eastAsia="宋体" w:cs="宋体"/>
          <w:spacing w:val="7"/>
          <w:sz w:val="31"/>
          <w:szCs w:val="31"/>
          <w:highlight w:val="none"/>
        </w:rPr>
        <w:t xml:space="preserve"> </w:t>
      </w:r>
      <w:r>
        <w:rPr>
          <w:rFonts w:ascii="宋体" w:hAnsi="宋体" w:eastAsia="宋体" w:cs="宋体"/>
          <w:b/>
          <w:bCs/>
          <w:spacing w:val="7"/>
          <w:sz w:val="31"/>
          <w:szCs w:val="31"/>
          <w:highlight w:val="none"/>
        </w:rPr>
        <w:t>购</w:t>
      </w:r>
      <w:r>
        <w:rPr>
          <w:rFonts w:ascii="宋体" w:hAnsi="宋体" w:eastAsia="宋体" w:cs="宋体"/>
          <w:spacing w:val="7"/>
          <w:sz w:val="31"/>
          <w:szCs w:val="31"/>
          <w:highlight w:val="none"/>
        </w:rPr>
        <w:t xml:space="preserve"> </w:t>
      </w:r>
      <w:r>
        <w:rPr>
          <w:rFonts w:ascii="宋体" w:hAnsi="宋体" w:eastAsia="宋体" w:cs="宋体"/>
          <w:b/>
          <w:bCs/>
          <w:spacing w:val="7"/>
          <w:sz w:val="31"/>
          <w:szCs w:val="31"/>
          <w:highlight w:val="none"/>
        </w:rPr>
        <w:t>人：</w:t>
      </w:r>
      <w:r>
        <w:rPr>
          <w:rFonts w:ascii="宋体" w:hAnsi="宋体" w:eastAsia="宋体" w:cs="宋体"/>
          <w:spacing w:val="7"/>
          <w:sz w:val="31"/>
          <w:szCs w:val="31"/>
          <w:highlight w:val="none"/>
        </w:rPr>
        <w:t>重庆理工职业学院</w:t>
      </w:r>
    </w:p>
    <w:p w14:paraId="22A649FF">
      <w:pPr>
        <w:spacing w:before="48" w:line="224" w:lineRule="auto"/>
        <w:ind w:firstLine="982" w:firstLineChars="300"/>
        <w:rPr>
          <w:rFonts w:ascii="宋体" w:hAnsi="宋体" w:eastAsia="宋体" w:cs="宋体"/>
          <w:spacing w:val="8"/>
          <w:sz w:val="31"/>
          <w:szCs w:val="31"/>
          <w:highlight w:val="none"/>
        </w:rPr>
      </w:pPr>
      <w:r>
        <w:rPr>
          <w:rFonts w:ascii="宋体" w:hAnsi="宋体" w:eastAsia="宋体" w:cs="宋体"/>
          <w:b/>
          <w:bCs/>
          <w:spacing w:val="8"/>
          <w:sz w:val="31"/>
          <w:szCs w:val="31"/>
          <w:highlight w:val="none"/>
        </w:rPr>
        <w:t>代理机构：</w:t>
      </w:r>
      <w:r>
        <w:rPr>
          <w:rFonts w:ascii="宋体" w:hAnsi="宋体" w:eastAsia="宋体" w:cs="宋体"/>
          <w:spacing w:val="8"/>
          <w:sz w:val="31"/>
          <w:szCs w:val="31"/>
          <w:highlight w:val="none"/>
        </w:rPr>
        <w:t>中科高盛咨询集团有限公司</w:t>
      </w:r>
    </w:p>
    <w:p w14:paraId="75F91FAB">
      <w:pPr>
        <w:spacing w:before="48" w:line="224" w:lineRule="auto"/>
        <w:ind w:firstLine="978" w:firstLineChars="300"/>
        <w:rPr>
          <w:rFonts w:ascii="宋体" w:hAnsi="宋体" w:eastAsia="宋体" w:cs="宋体"/>
          <w:spacing w:val="8"/>
          <w:sz w:val="31"/>
          <w:szCs w:val="31"/>
          <w:highlight w:val="none"/>
        </w:rPr>
      </w:pPr>
    </w:p>
    <w:p w14:paraId="1EBC5460">
      <w:pPr>
        <w:spacing w:before="48" w:line="224" w:lineRule="auto"/>
        <w:ind w:firstLine="978" w:firstLineChars="300"/>
        <w:rPr>
          <w:rFonts w:ascii="宋体" w:hAnsi="宋体" w:eastAsia="宋体" w:cs="宋体"/>
          <w:spacing w:val="8"/>
          <w:sz w:val="31"/>
          <w:szCs w:val="31"/>
          <w:highlight w:val="none"/>
        </w:rPr>
      </w:pPr>
    </w:p>
    <w:p w14:paraId="0DEEBF2E">
      <w:pPr>
        <w:spacing w:before="48" w:line="224" w:lineRule="auto"/>
        <w:ind w:firstLine="978" w:firstLineChars="300"/>
        <w:rPr>
          <w:rFonts w:ascii="宋体" w:hAnsi="宋体" w:eastAsia="宋体" w:cs="宋体"/>
          <w:spacing w:val="8"/>
          <w:sz w:val="31"/>
          <w:szCs w:val="31"/>
          <w:highlight w:val="none"/>
        </w:rPr>
      </w:pPr>
    </w:p>
    <w:p w14:paraId="14415E32">
      <w:pPr>
        <w:spacing w:before="48" w:line="224" w:lineRule="auto"/>
        <w:ind w:firstLine="978" w:firstLineChars="300"/>
        <w:rPr>
          <w:rFonts w:ascii="宋体" w:hAnsi="宋体" w:eastAsia="宋体" w:cs="宋体"/>
          <w:spacing w:val="8"/>
          <w:sz w:val="31"/>
          <w:szCs w:val="31"/>
          <w:highlight w:val="none"/>
        </w:rPr>
      </w:pPr>
    </w:p>
    <w:p w14:paraId="4388B2A7">
      <w:pPr>
        <w:spacing w:before="48" w:line="224" w:lineRule="auto"/>
        <w:ind w:firstLine="978" w:firstLineChars="300"/>
        <w:rPr>
          <w:rFonts w:ascii="宋体" w:hAnsi="宋体" w:eastAsia="宋体" w:cs="宋体"/>
          <w:spacing w:val="8"/>
          <w:sz w:val="31"/>
          <w:szCs w:val="31"/>
          <w:highlight w:val="none"/>
        </w:rPr>
      </w:pPr>
    </w:p>
    <w:p w14:paraId="3E2C6497">
      <w:pPr>
        <w:spacing w:before="48" w:line="224" w:lineRule="auto"/>
        <w:ind w:firstLine="978" w:firstLineChars="300"/>
        <w:rPr>
          <w:rFonts w:hint="default" w:ascii="宋体" w:hAnsi="宋体" w:eastAsia="宋体" w:cs="宋体"/>
          <w:spacing w:val="8"/>
          <w:sz w:val="31"/>
          <w:szCs w:val="31"/>
          <w:highlight w:val="none"/>
          <w:lang w:val="en-US" w:eastAsia="zh-CN"/>
        </w:rPr>
        <w:sectPr>
          <w:footerReference r:id="rId5" w:type="default"/>
          <w:pgSz w:w="11907" w:h="16840"/>
          <w:pgMar w:top="1431" w:right="1311" w:bottom="2833" w:left="1786" w:header="0" w:footer="2455" w:gutter="0"/>
          <w:cols w:space="720" w:num="1"/>
        </w:sectPr>
      </w:pPr>
      <w:r>
        <w:rPr>
          <w:rFonts w:hint="eastAsia" w:ascii="宋体" w:hAnsi="宋体" w:eastAsia="宋体" w:cs="宋体"/>
          <w:spacing w:val="8"/>
          <w:sz w:val="31"/>
          <w:szCs w:val="31"/>
          <w:highlight w:val="none"/>
          <w:lang w:val="en-US" w:eastAsia="zh-CN"/>
        </w:rPr>
        <w:t xml:space="preserve">            二0二五年四月</w:t>
      </w:r>
    </w:p>
    <w:p w14:paraId="231FE060">
      <w:pPr>
        <w:spacing w:before="42" w:line="229" w:lineRule="auto"/>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4E079D67">
      <w:pPr>
        <w:spacing w:before="133" w:line="220" w:lineRule="auto"/>
        <w:ind w:left="4177"/>
        <w:outlineLvl w:val="0"/>
        <w:rPr>
          <w:rFonts w:ascii="宋体" w:hAnsi="宋体" w:eastAsia="宋体" w:cs="宋体"/>
          <w:sz w:val="31"/>
          <w:szCs w:val="31"/>
          <w:highlight w:val="none"/>
        </w:rPr>
      </w:pPr>
      <w:bookmarkStart w:id="0" w:name="bookmark1"/>
      <w:bookmarkEnd w:id="0"/>
      <w:r>
        <w:rPr>
          <w:rFonts w:ascii="宋体" w:hAnsi="宋体" w:eastAsia="宋体" w:cs="宋体"/>
          <w:b/>
          <w:bCs/>
          <w:spacing w:val="-36"/>
          <w:sz w:val="31"/>
          <w:szCs w:val="31"/>
          <w:highlight w:val="none"/>
        </w:rPr>
        <w:t>目</w:t>
      </w:r>
      <w:r>
        <w:rPr>
          <w:rFonts w:ascii="宋体" w:hAnsi="宋体" w:eastAsia="宋体" w:cs="宋体"/>
          <w:spacing w:val="11"/>
          <w:sz w:val="31"/>
          <w:szCs w:val="31"/>
          <w:highlight w:val="none"/>
        </w:rPr>
        <w:t xml:space="preserve">   </w:t>
      </w:r>
      <w:r>
        <w:rPr>
          <w:rFonts w:ascii="宋体" w:hAnsi="宋体" w:eastAsia="宋体" w:cs="宋体"/>
          <w:b/>
          <w:bCs/>
          <w:spacing w:val="-36"/>
          <w:sz w:val="31"/>
          <w:szCs w:val="31"/>
          <w:highlight w:val="none"/>
        </w:rPr>
        <w:t>录</w:t>
      </w:r>
    </w:p>
    <w:sdt>
      <w:sdtPr>
        <w:rPr>
          <w:rFonts w:ascii="宋体" w:hAnsi="宋体" w:eastAsia="宋体" w:cs="宋体"/>
          <w:sz w:val="24"/>
          <w:szCs w:val="24"/>
          <w:highlight w:val="none"/>
        </w:rPr>
        <w:id w:val="147468984"/>
        <w:docPartObj>
          <w:docPartGallery w:val="Table of Contents"/>
          <w:docPartUnique/>
        </w:docPartObj>
      </w:sdtPr>
      <w:sdtEndPr>
        <w:rPr>
          <w:rFonts w:ascii="宋体" w:hAnsi="宋体" w:eastAsia="宋体" w:cs="宋体"/>
          <w:sz w:val="24"/>
          <w:szCs w:val="24"/>
          <w:highlight w:val="none"/>
        </w:rPr>
      </w:sdtEndPr>
      <w:sdtContent>
        <w:p w14:paraId="55584834">
          <w:pPr>
            <w:tabs>
              <w:tab w:val="right" w:leader="dot" w:pos="9372"/>
            </w:tabs>
            <w:spacing w:before="36" w:line="184" w:lineRule="auto"/>
            <w:ind w:left="530"/>
            <w:rPr>
              <w:rFonts w:ascii="宋体" w:hAnsi="宋体" w:eastAsia="宋体" w:cs="宋体"/>
              <w:sz w:val="24"/>
              <w:szCs w:val="24"/>
              <w:highlight w:val="none"/>
            </w:rPr>
          </w:pPr>
          <w:bookmarkStart w:id="1" w:name="bookmark2"/>
          <w:bookmarkEnd w:id="1"/>
          <w:r>
            <w:rPr>
              <w:highlight w:val="none"/>
            </w:rPr>
            <w:fldChar w:fldCharType="begin"/>
          </w:r>
          <w:r>
            <w:rPr>
              <w:highlight w:val="none"/>
            </w:rPr>
            <w:instrText xml:space="preserve"> HYPERLINK \l "bookmark3" </w:instrText>
          </w:r>
          <w:r>
            <w:rPr>
              <w:highlight w:val="none"/>
            </w:rPr>
            <w:fldChar w:fldCharType="separate"/>
          </w:r>
          <w:r>
            <w:rPr>
              <w:rFonts w:ascii="宋体" w:hAnsi="宋体" w:eastAsia="宋体" w:cs="宋体"/>
              <w:spacing w:val="-1"/>
              <w:sz w:val="24"/>
              <w:szCs w:val="24"/>
              <w:highlight w:val="none"/>
            </w:rPr>
            <w:t>第一篇  采购邀请书</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10"/>
              <w:sz w:val="24"/>
              <w:szCs w:val="24"/>
              <w:highlight w:val="none"/>
            </w:rPr>
            <w:t>2</w:t>
          </w:r>
          <w:r>
            <w:rPr>
              <w:rFonts w:ascii="宋体" w:hAnsi="宋体" w:eastAsia="宋体" w:cs="宋体"/>
              <w:spacing w:val="8"/>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9"/>
              <w:sz w:val="24"/>
              <w:szCs w:val="24"/>
              <w:highlight w:val="none"/>
            </w:rPr>
            <w:fldChar w:fldCharType="end"/>
          </w:r>
        </w:p>
        <w:p w14:paraId="23EA9995">
          <w:pPr>
            <w:tabs>
              <w:tab w:val="right" w:leader="dot" w:pos="9372"/>
            </w:tabs>
            <w:spacing w:before="69" w:line="212" w:lineRule="auto"/>
            <w:ind w:left="1093"/>
            <w:rPr>
              <w:rFonts w:ascii="宋体" w:hAnsi="宋体" w:eastAsia="宋体" w:cs="宋体"/>
              <w:sz w:val="24"/>
              <w:szCs w:val="24"/>
              <w:highlight w:val="none"/>
            </w:rPr>
          </w:pPr>
          <w:bookmarkStart w:id="2" w:name="bookmark4"/>
          <w:bookmarkEnd w:id="2"/>
          <w:r>
            <w:rPr>
              <w:highlight w:val="none"/>
            </w:rPr>
            <w:fldChar w:fldCharType="begin"/>
          </w:r>
          <w:r>
            <w:rPr>
              <w:highlight w:val="none"/>
            </w:rPr>
            <w:instrText xml:space="preserve"> HYPERLINK \l "bookmark5" </w:instrText>
          </w:r>
          <w:r>
            <w:rPr>
              <w:highlight w:val="none"/>
            </w:rPr>
            <w:fldChar w:fldCharType="separate"/>
          </w:r>
          <w:r>
            <w:rPr>
              <w:rFonts w:ascii="宋体" w:hAnsi="宋体" w:eastAsia="宋体" w:cs="宋体"/>
              <w:spacing w:val="-2"/>
              <w:sz w:val="24"/>
              <w:szCs w:val="24"/>
              <w:highlight w:val="none"/>
            </w:rPr>
            <w:t>一、竞争性比选内容</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10"/>
              <w:sz w:val="24"/>
              <w:szCs w:val="24"/>
              <w:highlight w:val="none"/>
            </w:rPr>
            <w:t>2</w:t>
          </w:r>
          <w:r>
            <w:rPr>
              <w:rFonts w:ascii="宋体" w:hAnsi="宋体" w:eastAsia="宋体" w:cs="宋体"/>
              <w:spacing w:val="8"/>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9"/>
              <w:sz w:val="24"/>
              <w:szCs w:val="24"/>
              <w:highlight w:val="none"/>
            </w:rPr>
            <w:fldChar w:fldCharType="end"/>
          </w:r>
        </w:p>
        <w:p w14:paraId="22B3DE5A">
          <w:pPr>
            <w:tabs>
              <w:tab w:val="right" w:leader="dot" w:pos="9372"/>
            </w:tabs>
            <w:spacing w:before="36" w:line="212" w:lineRule="auto"/>
            <w:ind w:left="1093"/>
            <w:rPr>
              <w:rFonts w:ascii="宋体" w:hAnsi="宋体" w:eastAsia="宋体" w:cs="宋体"/>
              <w:sz w:val="24"/>
              <w:szCs w:val="24"/>
              <w:highlight w:val="none"/>
            </w:rPr>
          </w:pPr>
          <w:bookmarkStart w:id="3" w:name="bookmark1"/>
          <w:bookmarkEnd w:id="3"/>
          <w:r>
            <w:rPr>
              <w:highlight w:val="none"/>
            </w:rPr>
            <w:fldChar w:fldCharType="begin"/>
          </w:r>
          <w:r>
            <w:rPr>
              <w:highlight w:val="none"/>
            </w:rPr>
            <w:instrText xml:space="preserve"> HYPERLINK \l "bookmark1" </w:instrText>
          </w:r>
          <w:r>
            <w:rPr>
              <w:highlight w:val="none"/>
            </w:rPr>
            <w:fldChar w:fldCharType="separate"/>
          </w:r>
          <w:r>
            <w:rPr>
              <w:rFonts w:ascii="宋体" w:hAnsi="宋体" w:eastAsia="宋体" w:cs="宋体"/>
              <w:spacing w:val="-3"/>
              <w:sz w:val="24"/>
              <w:szCs w:val="24"/>
              <w:highlight w:val="none"/>
            </w:rPr>
            <w:t>二、项目说明</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10"/>
              <w:sz w:val="24"/>
              <w:szCs w:val="24"/>
              <w:highlight w:val="none"/>
            </w:rPr>
            <w:t>2</w:t>
          </w:r>
          <w:r>
            <w:rPr>
              <w:rFonts w:ascii="宋体" w:hAnsi="宋体" w:eastAsia="宋体" w:cs="宋体"/>
              <w:spacing w:val="8"/>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9"/>
              <w:sz w:val="24"/>
              <w:szCs w:val="24"/>
              <w:highlight w:val="none"/>
            </w:rPr>
            <w:fldChar w:fldCharType="end"/>
          </w:r>
        </w:p>
        <w:p w14:paraId="52AEFE69">
          <w:pPr>
            <w:tabs>
              <w:tab w:val="right" w:leader="dot" w:pos="9372"/>
            </w:tabs>
            <w:spacing w:before="37" w:line="185" w:lineRule="auto"/>
            <w:ind w:left="1089"/>
            <w:rPr>
              <w:rFonts w:ascii="宋体" w:hAnsi="宋体" w:eastAsia="宋体" w:cs="宋体"/>
              <w:sz w:val="24"/>
              <w:szCs w:val="24"/>
              <w:highlight w:val="none"/>
            </w:rPr>
          </w:pPr>
          <w:bookmarkStart w:id="4" w:name="bookmark6"/>
          <w:bookmarkEnd w:id="4"/>
          <w:r>
            <w:rPr>
              <w:highlight w:val="none"/>
            </w:rPr>
            <w:fldChar w:fldCharType="begin"/>
          </w:r>
          <w:r>
            <w:rPr>
              <w:highlight w:val="none"/>
            </w:rPr>
            <w:instrText xml:space="preserve"> HYPERLINK \l "bookmark7" </w:instrText>
          </w:r>
          <w:r>
            <w:rPr>
              <w:highlight w:val="none"/>
            </w:rPr>
            <w:fldChar w:fldCharType="separate"/>
          </w:r>
          <w:r>
            <w:rPr>
              <w:rFonts w:ascii="宋体" w:hAnsi="宋体" w:eastAsia="宋体" w:cs="宋体"/>
              <w:spacing w:val="-2"/>
              <w:sz w:val="24"/>
              <w:szCs w:val="24"/>
              <w:highlight w:val="none"/>
            </w:rPr>
            <w:t>三、供应商资格条件</w:t>
          </w:r>
          <w:r>
            <w:rPr>
              <w:rFonts w:ascii="宋体" w:hAnsi="宋体" w:eastAsia="宋体" w:cs="宋体"/>
              <w:spacing w:val="-37"/>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10"/>
              <w:sz w:val="24"/>
              <w:szCs w:val="24"/>
              <w:highlight w:val="none"/>
            </w:rPr>
            <w:t>2</w:t>
          </w:r>
          <w:r>
            <w:rPr>
              <w:rFonts w:ascii="宋体" w:hAnsi="宋体" w:eastAsia="宋体" w:cs="宋体"/>
              <w:spacing w:val="8"/>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9"/>
              <w:sz w:val="24"/>
              <w:szCs w:val="24"/>
              <w:highlight w:val="none"/>
            </w:rPr>
            <w:fldChar w:fldCharType="end"/>
          </w:r>
        </w:p>
        <w:p w14:paraId="3A4FF9C9">
          <w:pPr>
            <w:tabs>
              <w:tab w:val="right" w:leader="dot" w:pos="9372"/>
            </w:tabs>
            <w:spacing w:before="72" w:line="184" w:lineRule="auto"/>
            <w:ind w:left="1111"/>
            <w:rPr>
              <w:rFonts w:ascii="宋体" w:hAnsi="宋体" w:eastAsia="宋体" w:cs="宋体"/>
              <w:sz w:val="24"/>
              <w:szCs w:val="24"/>
              <w:highlight w:val="none"/>
            </w:rPr>
          </w:pPr>
          <w:bookmarkStart w:id="5" w:name="bookmark1"/>
          <w:bookmarkEnd w:id="5"/>
          <w:r>
            <w:rPr>
              <w:highlight w:val="none"/>
            </w:rPr>
            <w:fldChar w:fldCharType="begin"/>
          </w:r>
          <w:r>
            <w:rPr>
              <w:highlight w:val="none"/>
            </w:rPr>
            <w:instrText xml:space="preserve"> HYPERLINK \l "bookmark8" </w:instrText>
          </w:r>
          <w:r>
            <w:rPr>
              <w:highlight w:val="none"/>
            </w:rPr>
            <w:fldChar w:fldCharType="separate"/>
          </w:r>
          <w:r>
            <w:rPr>
              <w:rFonts w:ascii="宋体" w:hAnsi="宋体" w:eastAsia="宋体" w:cs="宋体"/>
              <w:spacing w:val="-4"/>
              <w:sz w:val="24"/>
              <w:szCs w:val="24"/>
              <w:highlight w:val="none"/>
            </w:rPr>
            <w:t>四、投标有关说明</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10"/>
              <w:sz w:val="24"/>
              <w:szCs w:val="24"/>
              <w:highlight w:val="none"/>
            </w:rPr>
            <w:t>2</w:t>
          </w:r>
          <w:r>
            <w:rPr>
              <w:rFonts w:ascii="宋体" w:hAnsi="宋体" w:eastAsia="宋体" w:cs="宋体"/>
              <w:spacing w:val="8"/>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9"/>
              <w:sz w:val="24"/>
              <w:szCs w:val="24"/>
              <w:highlight w:val="none"/>
            </w:rPr>
            <w:fldChar w:fldCharType="end"/>
          </w:r>
        </w:p>
        <w:p w14:paraId="478B9E87">
          <w:pPr>
            <w:tabs>
              <w:tab w:val="right" w:leader="dot" w:pos="9372"/>
            </w:tabs>
            <w:spacing w:before="70" w:line="184" w:lineRule="auto"/>
            <w:ind w:left="1093"/>
            <w:rPr>
              <w:rFonts w:ascii="宋体" w:hAnsi="宋体" w:eastAsia="宋体" w:cs="宋体"/>
              <w:sz w:val="24"/>
              <w:szCs w:val="24"/>
              <w:highlight w:val="none"/>
            </w:rPr>
          </w:pPr>
          <w:bookmarkStart w:id="6" w:name="bookmark9"/>
          <w:bookmarkEnd w:id="6"/>
          <w:r>
            <w:rPr>
              <w:highlight w:val="none"/>
            </w:rPr>
            <w:fldChar w:fldCharType="begin"/>
          </w:r>
          <w:r>
            <w:rPr>
              <w:highlight w:val="none"/>
            </w:rPr>
            <w:instrText xml:space="preserve"> HYPERLINK \l "bookmark10" </w:instrText>
          </w:r>
          <w:r>
            <w:rPr>
              <w:highlight w:val="none"/>
            </w:rPr>
            <w:fldChar w:fldCharType="separate"/>
          </w:r>
          <w:r>
            <w:rPr>
              <w:rFonts w:ascii="宋体" w:hAnsi="宋体" w:eastAsia="宋体" w:cs="宋体"/>
              <w:spacing w:val="-2"/>
              <w:sz w:val="24"/>
              <w:szCs w:val="24"/>
              <w:highlight w:val="none"/>
            </w:rPr>
            <w:t>五、比选保证金</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10"/>
              <w:sz w:val="24"/>
              <w:szCs w:val="24"/>
              <w:highlight w:val="none"/>
            </w:rPr>
            <w:t>3</w:t>
          </w:r>
          <w:r>
            <w:rPr>
              <w:rFonts w:ascii="宋体" w:hAnsi="宋体" w:eastAsia="宋体" w:cs="宋体"/>
              <w:spacing w:val="8"/>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9"/>
              <w:sz w:val="24"/>
              <w:szCs w:val="24"/>
              <w:highlight w:val="none"/>
            </w:rPr>
            <w:fldChar w:fldCharType="end"/>
          </w:r>
        </w:p>
        <w:p w14:paraId="224079E7">
          <w:pPr>
            <w:tabs>
              <w:tab w:val="right" w:leader="dot" w:pos="9372"/>
            </w:tabs>
            <w:spacing w:before="73" w:line="184" w:lineRule="auto"/>
            <w:ind w:left="1091"/>
            <w:rPr>
              <w:rFonts w:ascii="宋体" w:hAnsi="宋体" w:eastAsia="宋体" w:cs="宋体"/>
              <w:sz w:val="24"/>
              <w:szCs w:val="24"/>
              <w:highlight w:val="none"/>
            </w:rPr>
          </w:pPr>
          <w:bookmarkStart w:id="7" w:name="bookmark11"/>
          <w:bookmarkEnd w:id="7"/>
          <w:r>
            <w:rPr>
              <w:highlight w:val="none"/>
            </w:rPr>
            <w:fldChar w:fldCharType="begin"/>
          </w:r>
          <w:r>
            <w:rPr>
              <w:highlight w:val="none"/>
            </w:rPr>
            <w:instrText xml:space="preserve"> HYPERLINK \l "bookmark12" </w:instrText>
          </w:r>
          <w:r>
            <w:rPr>
              <w:highlight w:val="none"/>
            </w:rPr>
            <w:fldChar w:fldCharType="separate"/>
          </w:r>
          <w:r>
            <w:rPr>
              <w:rFonts w:ascii="宋体" w:hAnsi="宋体" w:eastAsia="宋体" w:cs="宋体"/>
              <w:spacing w:val="-2"/>
              <w:sz w:val="24"/>
              <w:szCs w:val="24"/>
              <w:highlight w:val="none"/>
            </w:rPr>
            <w:t>六、其它有关规定</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4</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71BEE54C">
          <w:pPr>
            <w:tabs>
              <w:tab w:val="right" w:leader="dot" w:pos="9372"/>
            </w:tabs>
            <w:spacing w:before="70" w:line="185" w:lineRule="auto"/>
            <w:ind w:left="1088"/>
            <w:rPr>
              <w:rFonts w:ascii="宋体" w:hAnsi="宋体" w:eastAsia="宋体" w:cs="宋体"/>
              <w:sz w:val="24"/>
              <w:szCs w:val="24"/>
              <w:highlight w:val="none"/>
            </w:rPr>
          </w:pPr>
          <w:bookmarkStart w:id="8" w:name="bookmark13"/>
          <w:bookmarkEnd w:id="8"/>
          <w:r>
            <w:rPr>
              <w:highlight w:val="none"/>
            </w:rPr>
            <w:fldChar w:fldCharType="begin"/>
          </w:r>
          <w:r>
            <w:rPr>
              <w:highlight w:val="none"/>
            </w:rPr>
            <w:instrText xml:space="preserve"> HYPERLINK \l "bookmark14" </w:instrText>
          </w:r>
          <w:r>
            <w:rPr>
              <w:highlight w:val="none"/>
            </w:rPr>
            <w:fldChar w:fldCharType="separate"/>
          </w:r>
          <w:r>
            <w:rPr>
              <w:rFonts w:ascii="宋体" w:hAnsi="宋体" w:eastAsia="宋体" w:cs="宋体"/>
              <w:spacing w:val="-2"/>
              <w:sz w:val="24"/>
              <w:szCs w:val="24"/>
              <w:highlight w:val="none"/>
            </w:rPr>
            <w:t>七、联系方式</w:t>
          </w:r>
          <w:r>
            <w:rPr>
              <w:rFonts w:ascii="宋体" w:hAnsi="宋体" w:eastAsia="宋体" w:cs="宋体"/>
              <w:spacing w:val="-4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4</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2B2B3490">
          <w:pPr>
            <w:tabs>
              <w:tab w:val="right" w:leader="dot" w:pos="9372"/>
            </w:tabs>
            <w:spacing w:before="72" w:line="184" w:lineRule="auto"/>
            <w:ind w:left="530"/>
            <w:rPr>
              <w:rFonts w:ascii="宋体" w:hAnsi="宋体" w:eastAsia="宋体" w:cs="宋体"/>
              <w:sz w:val="24"/>
              <w:szCs w:val="24"/>
              <w:highlight w:val="none"/>
            </w:rPr>
          </w:pPr>
          <w:bookmarkStart w:id="9" w:name="bookmark15"/>
          <w:bookmarkEnd w:id="9"/>
          <w:r>
            <w:rPr>
              <w:highlight w:val="none"/>
            </w:rPr>
            <w:fldChar w:fldCharType="begin"/>
          </w:r>
          <w:r>
            <w:rPr>
              <w:highlight w:val="none"/>
            </w:rPr>
            <w:instrText xml:space="preserve"> HYPERLINK \l "bookmark16" </w:instrText>
          </w:r>
          <w:r>
            <w:rPr>
              <w:highlight w:val="none"/>
            </w:rPr>
            <w:fldChar w:fldCharType="separate"/>
          </w:r>
          <w:r>
            <w:rPr>
              <w:rFonts w:ascii="宋体" w:hAnsi="宋体" w:eastAsia="宋体" w:cs="宋体"/>
              <w:spacing w:val="-1"/>
              <w:sz w:val="24"/>
              <w:szCs w:val="24"/>
              <w:highlight w:val="none"/>
            </w:rPr>
            <w:t>第二篇  项目服务需求</w:t>
          </w:r>
          <w:r>
            <w:rPr>
              <w:rFonts w:ascii="宋体" w:hAnsi="宋体" w:eastAsia="宋体" w:cs="宋体"/>
              <w:spacing w:val="-44"/>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81"/>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4</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5EC91AF2">
          <w:pPr>
            <w:tabs>
              <w:tab w:val="right" w:leader="dot" w:pos="9372"/>
            </w:tabs>
            <w:spacing w:before="73" w:line="184" w:lineRule="auto"/>
            <w:ind w:left="530"/>
            <w:rPr>
              <w:rFonts w:ascii="宋体" w:hAnsi="宋体" w:eastAsia="宋体" w:cs="宋体"/>
              <w:sz w:val="24"/>
              <w:szCs w:val="24"/>
              <w:highlight w:val="none"/>
            </w:rPr>
          </w:pPr>
          <w:bookmarkStart w:id="10" w:name="bookmark17"/>
          <w:bookmarkEnd w:id="10"/>
          <w:r>
            <w:rPr>
              <w:highlight w:val="none"/>
            </w:rPr>
            <w:fldChar w:fldCharType="begin"/>
          </w:r>
          <w:r>
            <w:rPr>
              <w:highlight w:val="none"/>
            </w:rPr>
            <w:instrText xml:space="preserve"> HYPERLINK \l "bookmark18" </w:instrText>
          </w:r>
          <w:r>
            <w:rPr>
              <w:highlight w:val="none"/>
            </w:rPr>
            <w:fldChar w:fldCharType="separate"/>
          </w:r>
          <w:r>
            <w:rPr>
              <w:rFonts w:ascii="宋体" w:hAnsi="宋体" w:eastAsia="宋体" w:cs="宋体"/>
              <w:spacing w:val="-1"/>
              <w:sz w:val="24"/>
              <w:szCs w:val="24"/>
              <w:highlight w:val="none"/>
            </w:rPr>
            <w:t>第三篇  项目商务需求</w:t>
          </w:r>
          <w:r>
            <w:rPr>
              <w:rFonts w:ascii="宋体" w:hAnsi="宋体" w:eastAsia="宋体" w:cs="宋体"/>
              <w:spacing w:val="-44"/>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81"/>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10"/>
              <w:sz w:val="24"/>
              <w:szCs w:val="24"/>
              <w:highlight w:val="none"/>
            </w:rPr>
            <w:t>5</w:t>
          </w:r>
          <w:r>
            <w:rPr>
              <w:rFonts w:ascii="宋体" w:hAnsi="宋体" w:eastAsia="宋体" w:cs="宋体"/>
              <w:spacing w:val="8"/>
              <w:sz w:val="24"/>
              <w:szCs w:val="24"/>
              <w:highlight w:val="none"/>
            </w:rPr>
            <w:t xml:space="preserve"> </w:t>
          </w:r>
          <w:r>
            <w:rPr>
              <w:rFonts w:ascii="宋体" w:hAnsi="宋体" w:eastAsia="宋体" w:cs="宋体"/>
              <w:spacing w:val="-9"/>
              <w:sz w:val="24"/>
              <w:szCs w:val="24"/>
              <w:highlight w:val="none"/>
            </w:rPr>
            <w:t>-</w:t>
          </w:r>
          <w:r>
            <w:rPr>
              <w:rFonts w:ascii="宋体" w:hAnsi="宋体" w:eastAsia="宋体" w:cs="宋体"/>
              <w:spacing w:val="-9"/>
              <w:sz w:val="24"/>
              <w:szCs w:val="24"/>
              <w:highlight w:val="none"/>
            </w:rPr>
            <w:fldChar w:fldCharType="end"/>
          </w:r>
        </w:p>
        <w:p w14:paraId="7E669CB4">
          <w:pPr>
            <w:tabs>
              <w:tab w:val="right" w:leader="dot" w:pos="9372"/>
            </w:tabs>
            <w:spacing w:before="73" w:line="184" w:lineRule="auto"/>
            <w:ind w:left="530"/>
            <w:rPr>
              <w:rFonts w:ascii="宋体" w:hAnsi="宋体" w:eastAsia="宋体" w:cs="宋体"/>
              <w:sz w:val="24"/>
              <w:szCs w:val="24"/>
              <w:highlight w:val="none"/>
            </w:rPr>
          </w:pPr>
          <w:bookmarkStart w:id="11" w:name="bookmark19"/>
          <w:bookmarkEnd w:id="11"/>
          <w:r>
            <w:rPr>
              <w:highlight w:val="none"/>
            </w:rPr>
            <w:fldChar w:fldCharType="begin"/>
          </w:r>
          <w:r>
            <w:rPr>
              <w:highlight w:val="none"/>
            </w:rPr>
            <w:instrText xml:space="preserve"> HYPERLINK \l "bookmark20" </w:instrText>
          </w:r>
          <w:r>
            <w:rPr>
              <w:highlight w:val="none"/>
            </w:rPr>
            <w:fldChar w:fldCharType="separate"/>
          </w:r>
          <w:r>
            <w:rPr>
              <w:rFonts w:ascii="宋体" w:hAnsi="宋体" w:eastAsia="宋体" w:cs="宋体"/>
              <w:spacing w:val="-1"/>
              <w:sz w:val="24"/>
              <w:szCs w:val="24"/>
              <w:highlight w:val="none"/>
            </w:rPr>
            <w:t>第四篇  评标程序及方法、评审标准、无效响应和采购终止</w:t>
          </w:r>
          <w:r>
            <w:rPr>
              <w:rFonts w:ascii="宋体" w:hAnsi="宋体" w:eastAsia="宋体" w:cs="宋体"/>
              <w:spacing w:val="-28"/>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81"/>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7"/>
              <w:sz w:val="24"/>
              <w:szCs w:val="24"/>
              <w:highlight w:val="none"/>
            </w:rPr>
            <w:t>22</w:t>
          </w:r>
          <w:r>
            <w:rPr>
              <w:rFonts w:ascii="宋体" w:hAnsi="宋体" w:eastAsia="宋体" w:cs="宋体"/>
              <w:spacing w:val="8"/>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
              <w:sz w:val="24"/>
              <w:szCs w:val="24"/>
              <w:highlight w:val="none"/>
            </w:rPr>
            <w:fldChar w:fldCharType="end"/>
          </w:r>
        </w:p>
        <w:p w14:paraId="3E6B97FD">
          <w:pPr>
            <w:tabs>
              <w:tab w:val="right" w:leader="dot" w:pos="9372"/>
            </w:tabs>
            <w:spacing w:before="70" w:line="185" w:lineRule="auto"/>
            <w:ind w:left="1093"/>
            <w:rPr>
              <w:rFonts w:ascii="宋体" w:hAnsi="宋体" w:eastAsia="宋体" w:cs="宋体"/>
              <w:sz w:val="24"/>
              <w:szCs w:val="24"/>
              <w:highlight w:val="none"/>
            </w:rPr>
          </w:pPr>
          <w:bookmarkStart w:id="12" w:name="bookmark21"/>
          <w:bookmarkEnd w:id="12"/>
          <w:r>
            <w:rPr>
              <w:highlight w:val="none"/>
            </w:rPr>
            <w:fldChar w:fldCharType="begin"/>
          </w:r>
          <w:r>
            <w:rPr>
              <w:highlight w:val="none"/>
            </w:rPr>
            <w:instrText xml:space="preserve"> HYPERLINK \l "bookmark22" </w:instrText>
          </w:r>
          <w:r>
            <w:rPr>
              <w:highlight w:val="none"/>
            </w:rPr>
            <w:fldChar w:fldCharType="separate"/>
          </w:r>
          <w:r>
            <w:rPr>
              <w:rFonts w:ascii="宋体" w:hAnsi="宋体" w:eastAsia="宋体" w:cs="宋体"/>
              <w:spacing w:val="-2"/>
              <w:sz w:val="24"/>
              <w:szCs w:val="24"/>
              <w:highlight w:val="none"/>
            </w:rPr>
            <w:t>一、评标程序及方法</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7"/>
              <w:sz w:val="24"/>
              <w:szCs w:val="24"/>
              <w:highlight w:val="none"/>
            </w:rPr>
            <w:t>26</w:t>
          </w:r>
          <w:r>
            <w:rPr>
              <w:rFonts w:ascii="宋体" w:hAnsi="宋体" w:eastAsia="宋体" w:cs="宋体"/>
              <w:spacing w:val="8"/>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
              <w:sz w:val="24"/>
              <w:szCs w:val="24"/>
              <w:highlight w:val="none"/>
            </w:rPr>
            <w:fldChar w:fldCharType="end"/>
          </w:r>
        </w:p>
        <w:p w14:paraId="76E003CA">
          <w:pPr>
            <w:tabs>
              <w:tab w:val="right" w:leader="dot" w:pos="9372"/>
            </w:tabs>
            <w:spacing w:before="72" w:line="184" w:lineRule="auto"/>
            <w:ind w:left="1093"/>
            <w:rPr>
              <w:rFonts w:ascii="宋体" w:hAnsi="宋体" w:eastAsia="宋体" w:cs="宋体"/>
              <w:sz w:val="24"/>
              <w:szCs w:val="24"/>
              <w:highlight w:val="none"/>
            </w:rPr>
          </w:pPr>
          <w:bookmarkStart w:id="13" w:name="bookmark23"/>
          <w:bookmarkEnd w:id="13"/>
          <w:r>
            <w:rPr>
              <w:highlight w:val="none"/>
            </w:rPr>
            <w:fldChar w:fldCharType="begin"/>
          </w:r>
          <w:r>
            <w:rPr>
              <w:highlight w:val="none"/>
            </w:rPr>
            <w:instrText xml:space="preserve"> HYPERLINK \l "bookmark24" </w:instrText>
          </w:r>
          <w:r>
            <w:rPr>
              <w:highlight w:val="none"/>
            </w:rPr>
            <w:fldChar w:fldCharType="separate"/>
          </w:r>
          <w:r>
            <w:rPr>
              <w:rFonts w:ascii="宋体" w:hAnsi="宋体" w:eastAsia="宋体" w:cs="宋体"/>
              <w:spacing w:val="-3"/>
              <w:sz w:val="24"/>
              <w:szCs w:val="24"/>
              <w:highlight w:val="none"/>
            </w:rPr>
            <w:t>二、评审标准</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7"/>
              <w:sz w:val="24"/>
              <w:szCs w:val="24"/>
              <w:highlight w:val="none"/>
            </w:rPr>
            <w:t>27</w:t>
          </w:r>
          <w:r>
            <w:rPr>
              <w:rFonts w:ascii="宋体" w:hAnsi="宋体" w:eastAsia="宋体" w:cs="宋体"/>
              <w:spacing w:val="8"/>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
              <w:sz w:val="24"/>
              <w:szCs w:val="24"/>
              <w:highlight w:val="none"/>
            </w:rPr>
            <w:fldChar w:fldCharType="end"/>
          </w:r>
        </w:p>
        <w:p w14:paraId="7BD45964">
          <w:pPr>
            <w:tabs>
              <w:tab w:val="right" w:leader="dot" w:pos="9372"/>
            </w:tabs>
            <w:spacing w:before="72" w:line="184" w:lineRule="auto"/>
            <w:ind w:left="1089"/>
            <w:rPr>
              <w:rFonts w:ascii="宋体" w:hAnsi="宋体" w:eastAsia="宋体" w:cs="宋体"/>
              <w:sz w:val="24"/>
              <w:szCs w:val="24"/>
              <w:highlight w:val="none"/>
            </w:rPr>
          </w:pPr>
          <w:bookmarkStart w:id="14" w:name="bookmark25"/>
          <w:bookmarkEnd w:id="14"/>
          <w:r>
            <w:rPr>
              <w:highlight w:val="none"/>
            </w:rPr>
            <w:fldChar w:fldCharType="begin"/>
          </w:r>
          <w:r>
            <w:rPr>
              <w:highlight w:val="none"/>
            </w:rPr>
            <w:instrText xml:space="preserve"> HYPERLINK \l "bookmark26" </w:instrText>
          </w:r>
          <w:r>
            <w:rPr>
              <w:highlight w:val="none"/>
            </w:rPr>
            <w:fldChar w:fldCharType="separate"/>
          </w:r>
          <w:r>
            <w:rPr>
              <w:rFonts w:ascii="宋体" w:hAnsi="宋体" w:eastAsia="宋体" w:cs="宋体"/>
              <w:spacing w:val="-2"/>
              <w:sz w:val="24"/>
              <w:szCs w:val="24"/>
              <w:highlight w:val="none"/>
            </w:rPr>
            <w:t>三、无效响应</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7"/>
              <w:sz w:val="24"/>
              <w:szCs w:val="24"/>
              <w:highlight w:val="none"/>
            </w:rPr>
            <w:t>29</w:t>
          </w:r>
          <w:r>
            <w:rPr>
              <w:rFonts w:ascii="宋体" w:hAnsi="宋体" w:eastAsia="宋体" w:cs="宋体"/>
              <w:spacing w:val="8"/>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
              <w:sz w:val="24"/>
              <w:szCs w:val="24"/>
              <w:highlight w:val="none"/>
            </w:rPr>
            <w:fldChar w:fldCharType="end"/>
          </w:r>
        </w:p>
        <w:p w14:paraId="46E88B08">
          <w:pPr>
            <w:tabs>
              <w:tab w:val="right" w:leader="dot" w:pos="9372"/>
            </w:tabs>
            <w:spacing w:before="71" w:line="184" w:lineRule="auto"/>
            <w:ind w:left="1111"/>
            <w:rPr>
              <w:rFonts w:ascii="宋体" w:hAnsi="宋体" w:eastAsia="宋体" w:cs="宋体"/>
              <w:sz w:val="24"/>
              <w:szCs w:val="24"/>
              <w:highlight w:val="none"/>
            </w:rPr>
          </w:pPr>
          <w:bookmarkStart w:id="15" w:name="bookmark27"/>
          <w:bookmarkEnd w:id="15"/>
          <w:r>
            <w:rPr>
              <w:highlight w:val="none"/>
            </w:rPr>
            <w:fldChar w:fldCharType="begin"/>
          </w:r>
          <w:r>
            <w:rPr>
              <w:highlight w:val="none"/>
            </w:rPr>
            <w:instrText xml:space="preserve"> HYPERLINK \l "bookmark28" </w:instrText>
          </w:r>
          <w:r>
            <w:rPr>
              <w:highlight w:val="none"/>
            </w:rPr>
            <w:fldChar w:fldCharType="separate"/>
          </w:r>
          <w:r>
            <w:rPr>
              <w:rFonts w:ascii="宋体" w:hAnsi="宋体" w:eastAsia="宋体" w:cs="宋体"/>
              <w:spacing w:val="-6"/>
              <w:sz w:val="24"/>
              <w:szCs w:val="24"/>
              <w:highlight w:val="none"/>
            </w:rPr>
            <w:t>四、采购终止</w:t>
          </w:r>
          <w:r>
            <w:rPr>
              <w:rFonts w:ascii="宋体" w:hAnsi="宋体" w:eastAsia="宋体" w:cs="宋体"/>
              <w:spacing w:val="-4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12"/>
              <w:sz w:val="24"/>
              <w:szCs w:val="24"/>
              <w:highlight w:val="none"/>
            </w:rPr>
            <w:t xml:space="preserve"> </w:t>
          </w:r>
          <w:r>
            <w:rPr>
              <w:rFonts w:ascii="宋体" w:hAnsi="宋体" w:eastAsia="宋体" w:cs="宋体"/>
              <w:spacing w:val="-7"/>
              <w:sz w:val="24"/>
              <w:szCs w:val="24"/>
              <w:highlight w:val="none"/>
            </w:rPr>
            <w:t>29</w:t>
          </w:r>
          <w:r>
            <w:rPr>
              <w:rFonts w:ascii="宋体" w:hAnsi="宋体" w:eastAsia="宋体" w:cs="宋体"/>
              <w:spacing w:val="8"/>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7"/>
              <w:sz w:val="24"/>
              <w:szCs w:val="24"/>
              <w:highlight w:val="none"/>
            </w:rPr>
            <w:fldChar w:fldCharType="end"/>
          </w:r>
        </w:p>
        <w:p w14:paraId="0472819B">
          <w:pPr>
            <w:tabs>
              <w:tab w:val="right" w:leader="dot" w:pos="9372"/>
            </w:tabs>
            <w:spacing w:before="72" w:line="185" w:lineRule="auto"/>
            <w:ind w:left="530"/>
            <w:rPr>
              <w:rFonts w:ascii="宋体" w:hAnsi="宋体" w:eastAsia="宋体" w:cs="宋体"/>
              <w:sz w:val="24"/>
              <w:szCs w:val="24"/>
              <w:highlight w:val="none"/>
            </w:rPr>
          </w:pPr>
          <w:bookmarkStart w:id="16" w:name="bookmark29"/>
          <w:bookmarkEnd w:id="16"/>
          <w:r>
            <w:rPr>
              <w:highlight w:val="none"/>
            </w:rPr>
            <w:fldChar w:fldCharType="begin"/>
          </w:r>
          <w:r>
            <w:rPr>
              <w:highlight w:val="none"/>
            </w:rPr>
            <w:instrText xml:space="preserve"> HYPERLINK \l "bookmark30" </w:instrText>
          </w:r>
          <w:r>
            <w:rPr>
              <w:highlight w:val="none"/>
            </w:rPr>
            <w:fldChar w:fldCharType="separate"/>
          </w:r>
          <w:r>
            <w:rPr>
              <w:rFonts w:ascii="宋体" w:hAnsi="宋体" w:eastAsia="宋体" w:cs="宋体"/>
              <w:spacing w:val="-1"/>
              <w:sz w:val="24"/>
              <w:szCs w:val="24"/>
              <w:highlight w:val="none"/>
            </w:rPr>
            <w:t>第五篇  供应商须知</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30</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6D733358">
          <w:pPr>
            <w:tabs>
              <w:tab w:val="right" w:leader="dot" w:pos="9372"/>
            </w:tabs>
            <w:spacing w:before="72" w:line="184" w:lineRule="auto"/>
            <w:ind w:left="1093"/>
            <w:rPr>
              <w:rFonts w:ascii="宋体" w:hAnsi="宋体" w:eastAsia="宋体" w:cs="宋体"/>
              <w:sz w:val="24"/>
              <w:szCs w:val="24"/>
              <w:highlight w:val="none"/>
            </w:rPr>
          </w:pPr>
          <w:bookmarkStart w:id="17" w:name="bookmark31"/>
          <w:bookmarkEnd w:id="17"/>
          <w:r>
            <w:rPr>
              <w:highlight w:val="none"/>
            </w:rPr>
            <w:fldChar w:fldCharType="begin"/>
          </w:r>
          <w:r>
            <w:rPr>
              <w:highlight w:val="none"/>
            </w:rPr>
            <w:instrText xml:space="preserve"> HYPERLINK \l "bookmark32" </w:instrText>
          </w:r>
          <w:r>
            <w:rPr>
              <w:highlight w:val="none"/>
            </w:rPr>
            <w:fldChar w:fldCharType="separate"/>
          </w:r>
          <w:r>
            <w:rPr>
              <w:rFonts w:ascii="宋体" w:hAnsi="宋体" w:eastAsia="宋体" w:cs="宋体"/>
              <w:spacing w:val="-3"/>
              <w:sz w:val="24"/>
              <w:szCs w:val="24"/>
              <w:highlight w:val="none"/>
            </w:rPr>
            <w:t>一、供应商</w:t>
          </w:r>
          <w:r>
            <w:rPr>
              <w:rFonts w:ascii="宋体" w:hAnsi="宋体" w:eastAsia="宋体" w:cs="宋体"/>
              <w:spacing w:val="-44"/>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30</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344AD352">
          <w:pPr>
            <w:tabs>
              <w:tab w:val="right" w:leader="dot" w:pos="9372"/>
            </w:tabs>
            <w:spacing w:before="70" w:line="184" w:lineRule="auto"/>
            <w:ind w:left="1093"/>
            <w:rPr>
              <w:rFonts w:ascii="宋体" w:hAnsi="宋体" w:eastAsia="宋体" w:cs="宋体"/>
              <w:sz w:val="24"/>
              <w:szCs w:val="24"/>
              <w:highlight w:val="none"/>
            </w:rPr>
          </w:pPr>
          <w:bookmarkStart w:id="18" w:name="bookmark33"/>
          <w:bookmarkEnd w:id="18"/>
          <w:r>
            <w:rPr>
              <w:highlight w:val="none"/>
            </w:rPr>
            <w:fldChar w:fldCharType="begin"/>
          </w:r>
          <w:r>
            <w:rPr>
              <w:highlight w:val="none"/>
            </w:rPr>
            <w:instrText xml:space="preserve"> HYPERLINK \l "bookmark34" </w:instrText>
          </w:r>
          <w:r>
            <w:rPr>
              <w:highlight w:val="none"/>
            </w:rPr>
            <w:fldChar w:fldCharType="separate"/>
          </w:r>
          <w:r>
            <w:rPr>
              <w:rFonts w:ascii="宋体" w:hAnsi="宋体" w:eastAsia="宋体" w:cs="宋体"/>
              <w:spacing w:val="-2"/>
              <w:sz w:val="24"/>
              <w:szCs w:val="24"/>
              <w:highlight w:val="none"/>
            </w:rPr>
            <w:t>二、竞争性比选文件</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30</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6A3078C8">
          <w:pPr>
            <w:tabs>
              <w:tab w:val="right" w:leader="dot" w:pos="9372"/>
            </w:tabs>
            <w:spacing w:before="73" w:line="184" w:lineRule="auto"/>
            <w:ind w:left="1089"/>
            <w:rPr>
              <w:rFonts w:ascii="宋体" w:hAnsi="宋体" w:eastAsia="宋体" w:cs="宋体"/>
              <w:sz w:val="24"/>
              <w:szCs w:val="24"/>
              <w:highlight w:val="none"/>
            </w:rPr>
          </w:pPr>
          <w:bookmarkStart w:id="19" w:name="bookmark35"/>
          <w:bookmarkEnd w:id="19"/>
          <w:r>
            <w:rPr>
              <w:highlight w:val="none"/>
            </w:rPr>
            <w:fldChar w:fldCharType="begin"/>
          </w:r>
          <w:r>
            <w:rPr>
              <w:highlight w:val="none"/>
            </w:rPr>
            <w:instrText xml:space="preserve"> HYPERLINK \l "bookmark36" </w:instrText>
          </w:r>
          <w:r>
            <w:rPr>
              <w:highlight w:val="none"/>
            </w:rPr>
            <w:fldChar w:fldCharType="separate"/>
          </w:r>
          <w:r>
            <w:rPr>
              <w:rFonts w:ascii="宋体" w:hAnsi="宋体" w:eastAsia="宋体" w:cs="宋体"/>
              <w:spacing w:val="-2"/>
              <w:sz w:val="24"/>
              <w:szCs w:val="24"/>
              <w:highlight w:val="none"/>
            </w:rPr>
            <w:t>三、投标要求</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30</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53B6C852">
          <w:pPr>
            <w:tabs>
              <w:tab w:val="right" w:leader="dot" w:pos="9372"/>
            </w:tabs>
            <w:spacing w:before="73" w:line="185" w:lineRule="auto"/>
            <w:ind w:left="1111"/>
            <w:rPr>
              <w:rFonts w:ascii="宋体" w:hAnsi="宋体" w:eastAsia="宋体" w:cs="宋体"/>
              <w:sz w:val="24"/>
              <w:szCs w:val="24"/>
              <w:highlight w:val="none"/>
            </w:rPr>
          </w:pPr>
          <w:bookmarkStart w:id="20" w:name="bookmark37"/>
          <w:bookmarkEnd w:id="20"/>
          <w:r>
            <w:rPr>
              <w:highlight w:val="none"/>
            </w:rPr>
            <w:fldChar w:fldCharType="begin"/>
          </w:r>
          <w:r>
            <w:rPr>
              <w:highlight w:val="none"/>
            </w:rPr>
            <w:instrText xml:space="preserve"> HYPERLINK \l "bookmark38" </w:instrText>
          </w:r>
          <w:r>
            <w:rPr>
              <w:highlight w:val="none"/>
            </w:rPr>
            <w:fldChar w:fldCharType="separate"/>
          </w:r>
          <w:r>
            <w:rPr>
              <w:rFonts w:ascii="宋体" w:hAnsi="宋体" w:eastAsia="宋体" w:cs="宋体"/>
              <w:spacing w:val="-3"/>
              <w:sz w:val="24"/>
              <w:szCs w:val="24"/>
              <w:highlight w:val="none"/>
            </w:rPr>
            <w:t>四、入围供应商的确认和变更</w:t>
          </w:r>
          <w:r>
            <w:rPr>
              <w:rFonts w:ascii="宋体" w:hAnsi="宋体" w:eastAsia="宋体" w:cs="宋体"/>
              <w:spacing w:val="-39"/>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30</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417BEE84">
          <w:pPr>
            <w:tabs>
              <w:tab w:val="right" w:leader="dot" w:pos="9372"/>
            </w:tabs>
            <w:spacing w:before="72" w:line="184" w:lineRule="auto"/>
            <w:ind w:left="1093"/>
            <w:rPr>
              <w:rFonts w:ascii="宋体" w:hAnsi="宋体" w:eastAsia="宋体" w:cs="宋体"/>
              <w:sz w:val="24"/>
              <w:szCs w:val="24"/>
              <w:highlight w:val="none"/>
            </w:rPr>
          </w:pPr>
          <w:bookmarkStart w:id="21" w:name="bookmark39"/>
          <w:bookmarkEnd w:id="21"/>
          <w:r>
            <w:rPr>
              <w:highlight w:val="none"/>
            </w:rPr>
            <w:fldChar w:fldCharType="begin"/>
          </w:r>
          <w:r>
            <w:rPr>
              <w:highlight w:val="none"/>
            </w:rPr>
            <w:instrText xml:space="preserve"> HYPERLINK \l "bookmark40" </w:instrText>
          </w:r>
          <w:r>
            <w:rPr>
              <w:highlight w:val="none"/>
            </w:rPr>
            <w:fldChar w:fldCharType="separate"/>
          </w:r>
          <w:r>
            <w:rPr>
              <w:rFonts w:ascii="宋体" w:hAnsi="宋体" w:eastAsia="宋体" w:cs="宋体"/>
              <w:spacing w:val="-3"/>
              <w:sz w:val="24"/>
              <w:szCs w:val="24"/>
              <w:highlight w:val="none"/>
            </w:rPr>
            <w:t>五、成交通知</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32</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3E3F2C13">
          <w:pPr>
            <w:tabs>
              <w:tab w:val="right" w:leader="dot" w:pos="9372"/>
            </w:tabs>
            <w:spacing w:before="70" w:line="184" w:lineRule="auto"/>
            <w:ind w:left="1091"/>
            <w:rPr>
              <w:rFonts w:ascii="宋体" w:hAnsi="宋体" w:eastAsia="宋体" w:cs="宋体"/>
              <w:sz w:val="24"/>
              <w:szCs w:val="24"/>
              <w:highlight w:val="none"/>
            </w:rPr>
          </w:pPr>
          <w:bookmarkStart w:id="22" w:name="bookmark41"/>
          <w:bookmarkEnd w:id="22"/>
          <w:r>
            <w:rPr>
              <w:highlight w:val="none"/>
            </w:rPr>
            <w:fldChar w:fldCharType="begin"/>
          </w:r>
          <w:r>
            <w:rPr>
              <w:highlight w:val="none"/>
            </w:rPr>
            <w:instrText xml:space="preserve"> HYPERLINK \l "bookmark42" </w:instrText>
          </w:r>
          <w:r>
            <w:rPr>
              <w:highlight w:val="none"/>
            </w:rPr>
            <w:fldChar w:fldCharType="separate"/>
          </w:r>
          <w:r>
            <w:rPr>
              <w:rFonts w:ascii="宋体" w:hAnsi="宋体" w:eastAsia="宋体" w:cs="宋体"/>
              <w:spacing w:val="-2"/>
              <w:sz w:val="24"/>
              <w:szCs w:val="24"/>
              <w:highlight w:val="none"/>
            </w:rPr>
            <w:t>六、关于质疑和投诉</w:t>
          </w:r>
          <w:r>
            <w:rPr>
              <w:rFonts w:ascii="宋体" w:hAnsi="宋体" w:eastAsia="宋体" w:cs="宋体"/>
              <w:spacing w:val="-39"/>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32</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5F8A3177">
          <w:pPr>
            <w:tabs>
              <w:tab w:val="right" w:leader="dot" w:pos="9372"/>
            </w:tabs>
            <w:spacing w:before="73" w:line="184" w:lineRule="auto"/>
            <w:ind w:left="1088"/>
            <w:rPr>
              <w:rFonts w:ascii="宋体" w:hAnsi="宋体" w:eastAsia="宋体" w:cs="宋体"/>
              <w:sz w:val="24"/>
              <w:szCs w:val="24"/>
              <w:highlight w:val="none"/>
            </w:rPr>
          </w:pPr>
          <w:bookmarkStart w:id="23" w:name="bookmark43"/>
          <w:bookmarkEnd w:id="23"/>
          <w:r>
            <w:rPr>
              <w:highlight w:val="none"/>
            </w:rPr>
            <w:fldChar w:fldCharType="begin"/>
          </w:r>
          <w:r>
            <w:rPr>
              <w:highlight w:val="none"/>
            </w:rPr>
            <w:instrText xml:space="preserve"> HYPERLINK \l "bookmark44" </w:instrText>
          </w:r>
          <w:r>
            <w:rPr>
              <w:highlight w:val="none"/>
            </w:rPr>
            <w:fldChar w:fldCharType="separate"/>
          </w:r>
          <w:r>
            <w:rPr>
              <w:rFonts w:ascii="宋体" w:hAnsi="宋体" w:eastAsia="宋体" w:cs="宋体"/>
              <w:spacing w:val="-1"/>
              <w:sz w:val="24"/>
              <w:szCs w:val="24"/>
              <w:highlight w:val="none"/>
            </w:rPr>
            <w:t>七、采购代理服务费</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33</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20185632">
          <w:pPr>
            <w:tabs>
              <w:tab w:val="right" w:leader="dot" w:pos="9372"/>
            </w:tabs>
            <w:spacing w:before="70" w:line="185" w:lineRule="auto"/>
            <w:ind w:left="1093"/>
            <w:rPr>
              <w:rFonts w:ascii="宋体" w:hAnsi="宋体" w:eastAsia="宋体" w:cs="宋体"/>
              <w:sz w:val="24"/>
              <w:szCs w:val="24"/>
              <w:highlight w:val="none"/>
            </w:rPr>
          </w:pPr>
          <w:bookmarkStart w:id="24" w:name="bookmark45"/>
          <w:bookmarkEnd w:id="24"/>
          <w:r>
            <w:rPr>
              <w:highlight w:val="none"/>
            </w:rPr>
            <w:fldChar w:fldCharType="begin"/>
          </w:r>
          <w:r>
            <w:rPr>
              <w:highlight w:val="none"/>
            </w:rPr>
            <w:instrText xml:space="preserve"> HYPERLINK \l "bookmark46" </w:instrText>
          </w:r>
          <w:r>
            <w:rPr>
              <w:highlight w:val="none"/>
            </w:rPr>
            <w:fldChar w:fldCharType="separate"/>
          </w:r>
          <w:r>
            <w:rPr>
              <w:rFonts w:ascii="宋体" w:hAnsi="宋体" w:eastAsia="宋体" w:cs="宋体"/>
              <w:spacing w:val="-3"/>
              <w:sz w:val="24"/>
              <w:szCs w:val="24"/>
              <w:highlight w:val="none"/>
            </w:rPr>
            <w:t>八、签订合同</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33</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0E4EA8EA">
          <w:pPr>
            <w:tabs>
              <w:tab w:val="right" w:leader="dot" w:pos="9372"/>
            </w:tabs>
            <w:spacing w:before="72" w:line="184" w:lineRule="auto"/>
            <w:ind w:left="530"/>
            <w:rPr>
              <w:rFonts w:ascii="宋体" w:hAnsi="宋体" w:eastAsia="宋体" w:cs="宋体"/>
              <w:sz w:val="24"/>
              <w:szCs w:val="24"/>
              <w:highlight w:val="none"/>
            </w:rPr>
          </w:pPr>
          <w:bookmarkStart w:id="25" w:name="bookmark47"/>
          <w:bookmarkEnd w:id="25"/>
          <w:r>
            <w:rPr>
              <w:highlight w:val="none"/>
            </w:rPr>
            <w:fldChar w:fldCharType="begin"/>
          </w:r>
          <w:r>
            <w:rPr>
              <w:highlight w:val="none"/>
            </w:rPr>
            <w:instrText xml:space="preserve"> HYPERLINK \l "bookmark48" </w:instrText>
          </w:r>
          <w:r>
            <w:rPr>
              <w:highlight w:val="none"/>
            </w:rPr>
            <w:fldChar w:fldCharType="separate"/>
          </w:r>
          <w:r>
            <w:rPr>
              <w:rFonts w:ascii="宋体" w:hAnsi="宋体" w:eastAsia="宋体" w:cs="宋体"/>
              <w:spacing w:val="-2"/>
              <w:sz w:val="24"/>
              <w:szCs w:val="24"/>
              <w:highlight w:val="none"/>
            </w:rPr>
            <w:t>第六篇  采购合同</w:t>
          </w:r>
          <w:r>
            <w:rPr>
              <w:rFonts w:ascii="宋体" w:hAnsi="宋体" w:eastAsia="宋体" w:cs="宋体"/>
              <w:spacing w:val="-37"/>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34</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p w14:paraId="4DB646E3">
          <w:pPr>
            <w:tabs>
              <w:tab w:val="right" w:leader="dot" w:pos="9372"/>
            </w:tabs>
            <w:spacing w:before="72" w:line="184" w:lineRule="auto"/>
            <w:ind w:left="530"/>
            <w:rPr>
              <w:rFonts w:ascii="宋体" w:hAnsi="宋体" w:eastAsia="宋体" w:cs="宋体"/>
              <w:sz w:val="24"/>
              <w:szCs w:val="24"/>
              <w:highlight w:val="none"/>
            </w:rPr>
          </w:pPr>
          <w:bookmarkStart w:id="26" w:name="bookmark49"/>
          <w:bookmarkEnd w:id="26"/>
          <w:r>
            <w:rPr>
              <w:highlight w:val="none"/>
            </w:rPr>
            <w:fldChar w:fldCharType="begin"/>
          </w:r>
          <w:r>
            <w:rPr>
              <w:highlight w:val="none"/>
            </w:rPr>
            <w:instrText xml:space="preserve"> HYPERLINK \l "bookmark50" </w:instrText>
          </w:r>
          <w:r>
            <w:rPr>
              <w:highlight w:val="none"/>
            </w:rPr>
            <w:fldChar w:fldCharType="separate"/>
          </w:r>
          <w:r>
            <w:rPr>
              <w:rFonts w:ascii="宋体" w:hAnsi="宋体" w:eastAsia="宋体" w:cs="宋体"/>
              <w:spacing w:val="-1"/>
              <w:sz w:val="24"/>
              <w:szCs w:val="24"/>
              <w:highlight w:val="none"/>
            </w:rPr>
            <w:t>第七篇  响应文件编制要求</w:t>
          </w:r>
          <w:r>
            <w:rPr>
              <w:rFonts w:ascii="宋体" w:hAnsi="宋体" w:eastAsia="宋体" w:cs="宋体"/>
              <w:spacing w:val="-4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8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40</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6"/>
              <w:sz w:val="24"/>
              <w:szCs w:val="24"/>
              <w:highlight w:val="none"/>
            </w:rPr>
            <w:fldChar w:fldCharType="end"/>
          </w:r>
        </w:p>
        <w:p w14:paraId="4B09A334">
          <w:pPr>
            <w:tabs>
              <w:tab w:val="right" w:leader="dot" w:pos="9372"/>
            </w:tabs>
            <w:spacing w:before="73" w:line="184" w:lineRule="auto"/>
            <w:ind w:left="1093"/>
            <w:rPr>
              <w:rFonts w:ascii="宋体" w:hAnsi="宋体" w:eastAsia="宋体" w:cs="宋体"/>
              <w:sz w:val="24"/>
              <w:szCs w:val="24"/>
              <w:highlight w:val="none"/>
            </w:rPr>
          </w:pPr>
          <w:bookmarkStart w:id="27" w:name="bookmark51"/>
          <w:bookmarkEnd w:id="27"/>
          <w:r>
            <w:rPr>
              <w:highlight w:val="none"/>
            </w:rPr>
            <w:fldChar w:fldCharType="begin"/>
          </w:r>
          <w:r>
            <w:rPr>
              <w:highlight w:val="none"/>
            </w:rPr>
            <w:instrText xml:space="preserve"> HYPERLINK \l "bookmark52" </w:instrText>
          </w:r>
          <w:r>
            <w:rPr>
              <w:highlight w:val="none"/>
            </w:rPr>
            <w:fldChar w:fldCharType="separate"/>
          </w:r>
          <w:r>
            <w:rPr>
              <w:rFonts w:ascii="宋体" w:hAnsi="宋体" w:eastAsia="宋体" w:cs="宋体"/>
              <w:spacing w:val="-2"/>
              <w:sz w:val="24"/>
              <w:szCs w:val="24"/>
              <w:highlight w:val="none"/>
            </w:rPr>
            <w:t>一、响应文件封面</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41</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6"/>
              <w:sz w:val="24"/>
              <w:szCs w:val="24"/>
              <w:highlight w:val="none"/>
            </w:rPr>
            <w:fldChar w:fldCharType="end"/>
          </w:r>
        </w:p>
        <w:p w14:paraId="568F31B0">
          <w:pPr>
            <w:tabs>
              <w:tab w:val="right" w:leader="dot" w:pos="9372"/>
            </w:tabs>
            <w:spacing w:before="70" w:line="185" w:lineRule="auto"/>
            <w:ind w:left="1093"/>
            <w:rPr>
              <w:rFonts w:ascii="宋体" w:hAnsi="宋体" w:eastAsia="宋体" w:cs="宋体"/>
              <w:sz w:val="24"/>
              <w:szCs w:val="24"/>
              <w:highlight w:val="none"/>
            </w:rPr>
          </w:pPr>
          <w:bookmarkStart w:id="28" w:name="bookmark53"/>
          <w:bookmarkEnd w:id="28"/>
          <w:r>
            <w:rPr>
              <w:highlight w:val="none"/>
            </w:rPr>
            <w:fldChar w:fldCharType="begin"/>
          </w:r>
          <w:r>
            <w:rPr>
              <w:highlight w:val="none"/>
            </w:rPr>
            <w:instrText xml:space="preserve"> HYPERLINK \l "bookmark54" </w:instrText>
          </w:r>
          <w:r>
            <w:rPr>
              <w:highlight w:val="none"/>
            </w:rPr>
            <w:fldChar w:fldCharType="separate"/>
          </w:r>
          <w:r>
            <w:rPr>
              <w:rFonts w:ascii="宋体" w:hAnsi="宋体" w:eastAsia="宋体" w:cs="宋体"/>
              <w:spacing w:val="-3"/>
              <w:sz w:val="24"/>
              <w:szCs w:val="24"/>
              <w:highlight w:val="none"/>
            </w:rPr>
            <w:t>二、经济部分</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42</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6"/>
              <w:sz w:val="24"/>
              <w:szCs w:val="24"/>
              <w:highlight w:val="none"/>
            </w:rPr>
            <w:fldChar w:fldCharType="end"/>
          </w:r>
        </w:p>
        <w:p w14:paraId="60AAE2F0">
          <w:pPr>
            <w:tabs>
              <w:tab w:val="right" w:leader="dot" w:pos="9372"/>
            </w:tabs>
            <w:spacing w:before="72" w:line="184" w:lineRule="auto"/>
            <w:ind w:left="1089"/>
            <w:rPr>
              <w:rFonts w:ascii="宋体" w:hAnsi="宋体" w:eastAsia="宋体" w:cs="宋体"/>
              <w:sz w:val="24"/>
              <w:szCs w:val="24"/>
              <w:highlight w:val="none"/>
            </w:rPr>
          </w:pPr>
          <w:bookmarkStart w:id="29" w:name="bookmark55"/>
          <w:bookmarkEnd w:id="29"/>
          <w:r>
            <w:rPr>
              <w:highlight w:val="none"/>
            </w:rPr>
            <w:fldChar w:fldCharType="begin"/>
          </w:r>
          <w:r>
            <w:rPr>
              <w:highlight w:val="none"/>
            </w:rPr>
            <w:instrText xml:space="preserve"> HYPERLINK \l "bookmark56" </w:instrText>
          </w:r>
          <w:r>
            <w:rPr>
              <w:highlight w:val="none"/>
            </w:rPr>
            <w:fldChar w:fldCharType="separate"/>
          </w:r>
          <w:r>
            <w:rPr>
              <w:rFonts w:ascii="宋体" w:hAnsi="宋体" w:eastAsia="宋体" w:cs="宋体"/>
              <w:spacing w:val="-1"/>
              <w:sz w:val="24"/>
              <w:szCs w:val="24"/>
              <w:highlight w:val="none"/>
            </w:rPr>
            <w:t>三、技术（质量）部分</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43</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6"/>
              <w:sz w:val="24"/>
              <w:szCs w:val="24"/>
              <w:highlight w:val="none"/>
            </w:rPr>
            <w:fldChar w:fldCharType="end"/>
          </w:r>
        </w:p>
        <w:p w14:paraId="6D3C22D0">
          <w:pPr>
            <w:tabs>
              <w:tab w:val="right" w:leader="dot" w:pos="9372"/>
            </w:tabs>
            <w:spacing w:before="73" w:line="184" w:lineRule="auto"/>
            <w:ind w:left="1111"/>
            <w:rPr>
              <w:rFonts w:ascii="宋体" w:hAnsi="宋体" w:eastAsia="宋体" w:cs="宋体"/>
              <w:sz w:val="24"/>
              <w:szCs w:val="24"/>
              <w:highlight w:val="none"/>
            </w:rPr>
          </w:pPr>
          <w:bookmarkStart w:id="30" w:name="bookmark57"/>
          <w:bookmarkEnd w:id="30"/>
          <w:r>
            <w:rPr>
              <w:highlight w:val="none"/>
            </w:rPr>
            <w:fldChar w:fldCharType="begin"/>
          </w:r>
          <w:r>
            <w:rPr>
              <w:highlight w:val="none"/>
            </w:rPr>
            <w:instrText xml:space="preserve"> HYPERLINK \l "bookmark58" </w:instrText>
          </w:r>
          <w:r>
            <w:rPr>
              <w:highlight w:val="none"/>
            </w:rPr>
            <w:fldChar w:fldCharType="separate"/>
          </w:r>
          <w:r>
            <w:rPr>
              <w:rFonts w:ascii="宋体" w:hAnsi="宋体" w:eastAsia="宋体" w:cs="宋体"/>
              <w:spacing w:val="-6"/>
              <w:sz w:val="24"/>
              <w:szCs w:val="24"/>
              <w:highlight w:val="none"/>
            </w:rPr>
            <w:t>四、商务部分</w:t>
          </w:r>
          <w:r>
            <w:rPr>
              <w:rFonts w:ascii="宋体" w:hAnsi="宋体" w:eastAsia="宋体" w:cs="宋体"/>
              <w:spacing w:val="-4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45</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6"/>
              <w:sz w:val="24"/>
              <w:szCs w:val="24"/>
              <w:highlight w:val="none"/>
            </w:rPr>
            <w:fldChar w:fldCharType="end"/>
          </w:r>
        </w:p>
        <w:p w14:paraId="75BC3494">
          <w:pPr>
            <w:tabs>
              <w:tab w:val="right" w:leader="dot" w:pos="9372"/>
            </w:tabs>
            <w:spacing w:before="70" w:line="184" w:lineRule="auto"/>
            <w:ind w:left="1093"/>
            <w:rPr>
              <w:rFonts w:ascii="宋体" w:hAnsi="宋体" w:eastAsia="宋体" w:cs="宋体"/>
              <w:sz w:val="24"/>
              <w:szCs w:val="24"/>
              <w:highlight w:val="none"/>
            </w:rPr>
          </w:pPr>
          <w:bookmarkStart w:id="31" w:name="bookmark59"/>
          <w:bookmarkEnd w:id="31"/>
          <w:r>
            <w:rPr>
              <w:highlight w:val="none"/>
            </w:rPr>
            <w:fldChar w:fldCharType="begin"/>
          </w:r>
          <w:r>
            <w:rPr>
              <w:highlight w:val="none"/>
            </w:rPr>
            <w:instrText xml:space="preserve"> HYPERLINK \l "bookmark60" </w:instrText>
          </w:r>
          <w:r>
            <w:rPr>
              <w:highlight w:val="none"/>
            </w:rPr>
            <w:fldChar w:fldCharType="separate"/>
          </w:r>
          <w:r>
            <w:rPr>
              <w:rFonts w:ascii="宋体" w:hAnsi="宋体" w:eastAsia="宋体" w:cs="宋体"/>
              <w:spacing w:val="-2"/>
              <w:sz w:val="24"/>
              <w:szCs w:val="24"/>
              <w:highlight w:val="none"/>
            </w:rPr>
            <w:t>五、资格条件及其他</w:t>
          </w:r>
          <w:r>
            <w:rPr>
              <w:rFonts w:ascii="宋体" w:hAnsi="宋体" w:eastAsia="宋体" w:cs="宋体"/>
              <w:spacing w:val="-4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49</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6"/>
              <w:sz w:val="24"/>
              <w:szCs w:val="24"/>
              <w:highlight w:val="none"/>
            </w:rPr>
            <w:fldChar w:fldCharType="end"/>
          </w:r>
        </w:p>
        <w:p w14:paraId="23546C6E">
          <w:pPr>
            <w:tabs>
              <w:tab w:val="right" w:leader="dot" w:pos="9372"/>
            </w:tabs>
            <w:spacing w:before="73" w:line="220" w:lineRule="auto"/>
            <w:ind w:left="1091"/>
            <w:rPr>
              <w:rFonts w:ascii="宋体" w:hAnsi="宋体" w:eastAsia="宋体" w:cs="宋体"/>
              <w:sz w:val="24"/>
              <w:szCs w:val="24"/>
              <w:highlight w:val="none"/>
            </w:rPr>
          </w:pPr>
          <w:bookmarkStart w:id="32" w:name="bookmark61"/>
          <w:bookmarkEnd w:id="32"/>
          <w:r>
            <w:rPr>
              <w:highlight w:val="none"/>
            </w:rPr>
            <w:fldChar w:fldCharType="begin"/>
          </w:r>
          <w:r>
            <w:rPr>
              <w:highlight w:val="none"/>
            </w:rPr>
            <w:instrText xml:space="preserve"> HYPERLINK \l "bookmark62" </w:instrText>
          </w:r>
          <w:r>
            <w:rPr>
              <w:highlight w:val="none"/>
            </w:rPr>
            <w:fldChar w:fldCharType="separate"/>
          </w:r>
          <w:r>
            <w:rPr>
              <w:rFonts w:ascii="宋体" w:hAnsi="宋体" w:eastAsia="宋体" w:cs="宋体"/>
              <w:spacing w:val="-2"/>
              <w:sz w:val="24"/>
              <w:szCs w:val="24"/>
              <w:highlight w:val="none"/>
            </w:rPr>
            <w:t>六、其他资料</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14"/>
              <w:sz w:val="24"/>
              <w:szCs w:val="24"/>
              <w:highlight w:val="none"/>
            </w:rPr>
            <w:t xml:space="preserve"> </w:t>
          </w:r>
          <w:r>
            <w:rPr>
              <w:rFonts w:ascii="宋体" w:hAnsi="宋体" w:eastAsia="宋体" w:cs="宋体"/>
              <w:spacing w:val="-8"/>
              <w:sz w:val="24"/>
              <w:szCs w:val="24"/>
              <w:highlight w:val="none"/>
            </w:rPr>
            <w:t>54</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8"/>
              <w:sz w:val="24"/>
              <w:szCs w:val="24"/>
              <w:highlight w:val="none"/>
            </w:rPr>
            <w:fldChar w:fldCharType="end"/>
          </w:r>
        </w:p>
      </w:sdtContent>
    </w:sdt>
    <w:p w14:paraId="0CC9DB84">
      <w:pPr>
        <w:spacing w:line="220" w:lineRule="auto"/>
        <w:rPr>
          <w:rFonts w:ascii="宋体" w:hAnsi="宋体" w:eastAsia="宋体" w:cs="宋体"/>
          <w:sz w:val="24"/>
          <w:szCs w:val="24"/>
          <w:highlight w:val="none"/>
        </w:rPr>
        <w:sectPr>
          <w:footerReference r:id="rId6" w:type="default"/>
          <w:pgSz w:w="11907" w:h="16840"/>
          <w:pgMar w:top="820" w:right="1190" w:bottom="1136" w:left="1343" w:header="0" w:footer="931" w:gutter="0"/>
          <w:cols w:space="720" w:num="1"/>
        </w:sectPr>
      </w:pPr>
    </w:p>
    <w:p w14:paraId="7192F2B5">
      <w:pPr>
        <w:spacing w:before="302" w:line="217" w:lineRule="auto"/>
        <w:ind w:left="3083"/>
        <w:outlineLvl w:val="0"/>
        <w:rPr>
          <w:rFonts w:ascii="微软雅黑" w:hAnsi="微软雅黑" w:eastAsia="微软雅黑" w:cs="微软雅黑"/>
          <w:sz w:val="35"/>
          <w:szCs w:val="35"/>
          <w:highlight w:val="none"/>
        </w:rPr>
      </w:pPr>
      <w:bookmarkStart w:id="33" w:name="bookmark3"/>
      <w:bookmarkEnd w:id="33"/>
      <w:r>
        <w:rPr>
          <w:rFonts w:ascii="微软雅黑" w:hAnsi="微软雅黑" w:eastAsia="微软雅黑" w:cs="微软雅黑"/>
          <w:spacing w:val="8"/>
          <w:sz w:val="35"/>
          <w:szCs w:val="35"/>
          <w:highlight w:val="none"/>
        </w:rPr>
        <w:t>第一篇</w:t>
      </w:r>
      <w:r>
        <w:rPr>
          <w:rFonts w:ascii="微软雅黑" w:hAnsi="微软雅黑" w:eastAsia="微软雅黑" w:cs="微软雅黑"/>
          <w:spacing w:val="19"/>
          <w:sz w:val="35"/>
          <w:szCs w:val="35"/>
          <w:highlight w:val="none"/>
        </w:rPr>
        <w:t xml:space="preserve">   </w:t>
      </w:r>
      <w:r>
        <w:rPr>
          <w:rFonts w:ascii="微软雅黑" w:hAnsi="微软雅黑" w:eastAsia="微软雅黑" w:cs="微软雅黑"/>
          <w:spacing w:val="8"/>
          <w:sz w:val="35"/>
          <w:szCs w:val="35"/>
          <w:highlight w:val="none"/>
        </w:rPr>
        <w:t>采购邀请书</w:t>
      </w:r>
    </w:p>
    <w:p w14:paraId="76CE3B26">
      <w:pPr>
        <w:pStyle w:val="2"/>
        <w:spacing w:line="445" w:lineRule="auto"/>
        <w:rPr>
          <w:highlight w:val="none"/>
        </w:rPr>
      </w:pPr>
    </w:p>
    <w:p w14:paraId="12E71932">
      <w:pPr>
        <w:spacing w:before="78" w:line="219" w:lineRule="auto"/>
        <w:ind w:right="27"/>
        <w:jc w:val="right"/>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中科高盛咨询集团有限公司（以下简称：采</w:t>
      </w:r>
      <w:r>
        <w:rPr>
          <w:rFonts w:hint="eastAsia" w:ascii="宋体" w:hAnsi="宋体" w:eastAsia="宋体" w:cs="宋体"/>
          <w:sz w:val="24"/>
          <w:szCs w:val="24"/>
          <w:highlight w:val="none"/>
        </w:rPr>
        <w:t>购代理机构）接受重庆理工职业学院（以</w:t>
      </w:r>
    </w:p>
    <w:p w14:paraId="495CB75E">
      <w:pPr>
        <w:spacing w:before="183" w:line="346" w:lineRule="auto"/>
        <w:ind w:right="27" w:firstLine="7"/>
        <w:rPr>
          <w:rFonts w:ascii="宋体" w:hAnsi="宋体" w:eastAsia="宋体" w:cs="宋体"/>
          <w:sz w:val="24"/>
          <w:szCs w:val="24"/>
          <w:highlight w:val="none"/>
        </w:rPr>
      </w:pPr>
      <w:r>
        <w:rPr>
          <w:rFonts w:hint="eastAsia" w:ascii="宋体" w:hAnsi="宋体" w:eastAsia="宋体" w:cs="宋体"/>
          <w:sz w:val="24"/>
          <w:szCs w:val="24"/>
          <w:highlight w:val="none"/>
        </w:rPr>
        <w:t>下简称：采购人）的委托，对</w:t>
      </w:r>
      <w:r>
        <w:rPr>
          <w:rFonts w:hint="eastAsia" w:ascii="宋体" w:hAnsi="宋体" w:eastAsia="宋体" w:cs="宋体"/>
          <w:sz w:val="24"/>
          <w:szCs w:val="24"/>
          <w:highlight w:val="none"/>
          <w:lang w:eastAsia="zh-CN"/>
        </w:rPr>
        <w:t>重庆理工职业学院 2025-2026 年零星维修入围采购（第三次）</w:t>
      </w:r>
      <w:r>
        <w:rPr>
          <w:rFonts w:hint="eastAsia" w:ascii="宋体" w:hAnsi="宋体" w:eastAsia="宋体" w:cs="宋体"/>
          <w:sz w:val="24"/>
          <w:szCs w:val="24"/>
          <w:highlight w:val="none"/>
        </w:rPr>
        <w:t>事宜进行</w:t>
      </w:r>
      <w:r>
        <w:rPr>
          <w:rFonts w:hint="eastAsia" w:ascii="宋体" w:hAnsi="宋体" w:eastAsia="宋体" w:cs="宋体"/>
          <w:spacing w:val="-1"/>
          <w:sz w:val="24"/>
          <w:szCs w:val="24"/>
          <w:highlight w:val="none"/>
        </w:rPr>
        <w:t>竞争性比选。欢迎有资格的供应商前来参与。</w:t>
      </w:r>
    </w:p>
    <w:p w14:paraId="6F36F925">
      <w:pPr>
        <w:pStyle w:val="2"/>
        <w:spacing w:line="293" w:lineRule="auto"/>
        <w:rPr>
          <w:highlight w:val="none"/>
        </w:rPr>
      </w:pPr>
    </w:p>
    <w:p w14:paraId="0B03127B">
      <w:pPr>
        <w:spacing w:before="78" w:line="219" w:lineRule="auto"/>
        <w:ind w:left="484"/>
        <w:outlineLvl w:val="1"/>
        <w:rPr>
          <w:rFonts w:ascii="宋体" w:hAnsi="宋体" w:eastAsia="宋体" w:cs="宋体"/>
          <w:sz w:val="24"/>
          <w:szCs w:val="24"/>
          <w:highlight w:val="none"/>
        </w:rPr>
      </w:pPr>
      <w:bookmarkStart w:id="34" w:name="bookmark5"/>
      <w:bookmarkEnd w:id="34"/>
      <w:r>
        <w:rPr>
          <w:rFonts w:ascii="宋体" w:hAnsi="宋体" w:eastAsia="宋体" w:cs="宋体"/>
          <w:spacing w:val="-2"/>
          <w:sz w:val="24"/>
          <w:szCs w:val="24"/>
          <w:highlight w:val="none"/>
        </w:rPr>
        <w:t>一、竞争性比选内容</w:t>
      </w:r>
    </w:p>
    <w:tbl>
      <w:tblPr>
        <w:tblStyle w:val="6"/>
        <w:tblW w:w="9795"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2"/>
        <w:gridCol w:w="1480"/>
        <w:gridCol w:w="949"/>
        <w:gridCol w:w="2835"/>
        <w:gridCol w:w="1839"/>
      </w:tblGrid>
      <w:tr w14:paraId="63714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2692" w:type="dxa"/>
            <w:vAlign w:val="top"/>
          </w:tcPr>
          <w:p w14:paraId="1A953DA1">
            <w:pPr>
              <w:pStyle w:val="7"/>
              <w:spacing w:before="210" w:line="229" w:lineRule="auto"/>
              <w:ind w:left="786"/>
              <w:rPr>
                <w:highlight w:val="none"/>
              </w:rPr>
            </w:pPr>
            <w:r>
              <w:rPr>
                <w:b/>
                <w:bCs/>
                <w:spacing w:val="6"/>
                <w:highlight w:val="none"/>
              </w:rPr>
              <w:t>包号及名称</w:t>
            </w:r>
          </w:p>
        </w:tc>
        <w:tc>
          <w:tcPr>
            <w:tcW w:w="1480" w:type="dxa"/>
            <w:vAlign w:val="top"/>
          </w:tcPr>
          <w:p w14:paraId="1BDA02C3">
            <w:pPr>
              <w:pStyle w:val="7"/>
              <w:spacing w:before="39" w:line="220" w:lineRule="auto"/>
              <w:ind w:left="159"/>
              <w:outlineLvl w:val="0"/>
              <w:rPr>
                <w:sz w:val="24"/>
                <w:szCs w:val="24"/>
                <w:highlight w:val="none"/>
              </w:rPr>
            </w:pPr>
            <w:r>
              <w:rPr>
                <w:spacing w:val="-8"/>
                <w:sz w:val="24"/>
                <w:szCs w:val="24"/>
                <w:highlight w:val="none"/>
              </w:rPr>
              <w:t>比选保证金</w:t>
            </w:r>
          </w:p>
          <w:p w14:paraId="2F4E0A6E">
            <w:pPr>
              <w:pStyle w:val="7"/>
              <w:spacing w:before="25" w:line="207" w:lineRule="auto"/>
              <w:ind w:left="385"/>
              <w:outlineLvl w:val="0"/>
              <w:rPr>
                <w:sz w:val="24"/>
                <w:szCs w:val="24"/>
                <w:highlight w:val="none"/>
              </w:rPr>
            </w:pPr>
            <w:r>
              <w:rPr>
                <w:spacing w:val="-7"/>
                <w:sz w:val="24"/>
                <w:szCs w:val="24"/>
                <w:highlight w:val="none"/>
              </w:rPr>
              <w:t>（元）</w:t>
            </w:r>
          </w:p>
        </w:tc>
        <w:tc>
          <w:tcPr>
            <w:tcW w:w="949" w:type="dxa"/>
            <w:vAlign w:val="top"/>
          </w:tcPr>
          <w:p w14:paraId="3A2D99A0">
            <w:pPr>
              <w:pStyle w:val="7"/>
              <w:spacing w:before="210" w:line="226" w:lineRule="auto"/>
              <w:jc w:val="center"/>
              <w:rPr>
                <w:highlight w:val="none"/>
              </w:rPr>
            </w:pPr>
            <w:r>
              <w:rPr>
                <w:b/>
                <w:bCs/>
                <w:spacing w:val="5"/>
                <w:highlight w:val="none"/>
              </w:rPr>
              <w:t>折扣限价</w:t>
            </w:r>
          </w:p>
        </w:tc>
        <w:tc>
          <w:tcPr>
            <w:tcW w:w="2835" w:type="dxa"/>
            <w:vAlign w:val="top"/>
          </w:tcPr>
          <w:p w14:paraId="4D3631CB">
            <w:pPr>
              <w:pStyle w:val="7"/>
              <w:spacing w:before="73" w:line="227" w:lineRule="auto"/>
              <w:ind w:left="130"/>
              <w:jc w:val="center"/>
              <w:rPr>
                <w:highlight w:val="none"/>
              </w:rPr>
            </w:pPr>
            <w:r>
              <w:rPr>
                <w:b/>
                <w:bCs/>
                <w:spacing w:val="7"/>
                <w:highlight w:val="none"/>
              </w:rPr>
              <w:t>入围供应商数量</w:t>
            </w:r>
          </w:p>
          <w:p w14:paraId="63AEFED2">
            <w:pPr>
              <w:pStyle w:val="7"/>
              <w:spacing w:before="28" w:line="231" w:lineRule="auto"/>
              <w:ind w:left="563"/>
              <w:jc w:val="center"/>
              <w:rPr>
                <w:highlight w:val="none"/>
              </w:rPr>
            </w:pPr>
            <w:r>
              <w:rPr>
                <w:b/>
                <w:bCs/>
                <w:spacing w:val="-2"/>
                <w:highlight w:val="none"/>
              </w:rPr>
              <w:t>（名）</w:t>
            </w:r>
          </w:p>
        </w:tc>
        <w:tc>
          <w:tcPr>
            <w:tcW w:w="1839" w:type="dxa"/>
            <w:vAlign w:val="top"/>
          </w:tcPr>
          <w:p w14:paraId="720BF966">
            <w:pPr>
              <w:pStyle w:val="7"/>
              <w:spacing w:before="210" w:line="229" w:lineRule="auto"/>
              <w:ind w:left="759"/>
              <w:rPr>
                <w:highlight w:val="none"/>
              </w:rPr>
            </w:pPr>
            <w:r>
              <w:rPr>
                <w:b/>
                <w:bCs/>
                <w:spacing w:val="2"/>
                <w:highlight w:val="none"/>
              </w:rPr>
              <w:t>备注</w:t>
            </w:r>
          </w:p>
        </w:tc>
      </w:tr>
      <w:tr w14:paraId="7738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692" w:type="dxa"/>
            <w:vAlign w:val="top"/>
          </w:tcPr>
          <w:p w14:paraId="5D0D74CE">
            <w:pPr>
              <w:pStyle w:val="7"/>
              <w:spacing w:before="58" w:line="219" w:lineRule="auto"/>
              <w:ind w:left="116"/>
              <w:outlineLvl w:val="0"/>
              <w:rPr>
                <w:rFonts w:hint="eastAsia" w:eastAsia="宋体"/>
                <w:sz w:val="24"/>
                <w:szCs w:val="24"/>
                <w:highlight w:val="none"/>
                <w:lang w:eastAsia="zh-CN"/>
              </w:rPr>
            </w:pPr>
            <w:r>
              <w:rPr>
                <w:rFonts w:hint="eastAsia"/>
                <w:b/>
                <w:bCs/>
                <w:spacing w:val="-3"/>
                <w:sz w:val="24"/>
                <w:szCs w:val="24"/>
                <w:highlight w:val="none"/>
                <w:lang w:eastAsia="zh-CN"/>
              </w:rPr>
              <w:t>包二：门窗玻璃维修类</w:t>
            </w:r>
          </w:p>
        </w:tc>
        <w:tc>
          <w:tcPr>
            <w:tcW w:w="1480" w:type="dxa"/>
            <w:vAlign w:val="top"/>
          </w:tcPr>
          <w:p w14:paraId="223E1595">
            <w:pPr>
              <w:pStyle w:val="7"/>
              <w:spacing w:before="108" w:line="189" w:lineRule="auto"/>
              <w:ind w:left="367"/>
              <w:rPr>
                <w:highlight w:val="none"/>
              </w:rPr>
            </w:pPr>
            <w:r>
              <w:rPr>
                <w:spacing w:val="3"/>
                <w:highlight w:val="none"/>
              </w:rPr>
              <w:t>2000.00</w:t>
            </w:r>
          </w:p>
        </w:tc>
        <w:tc>
          <w:tcPr>
            <w:tcW w:w="949" w:type="dxa"/>
            <w:vAlign w:val="top"/>
          </w:tcPr>
          <w:p w14:paraId="6C4372F5">
            <w:pPr>
              <w:pStyle w:val="7"/>
              <w:spacing w:before="75" w:line="268" w:lineRule="exact"/>
              <w:rPr>
                <w:highlight w:val="none"/>
              </w:rPr>
            </w:pPr>
            <w:r>
              <w:rPr>
                <w:spacing w:val="-1"/>
                <w:position w:val="1"/>
                <w:highlight w:val="none"/>
              </w:rPr>
              <w:t>100%</w:t>
            </w:r>
          </w:p>
        </w:tc>
        <w:tc>
          <w:tcPr>
            <w:tcW w:w="2835" w:type="dxa"/>
            <w:vAlign w:val="top"/>
          </w:tcPr>
          <w:p w14:paraId="430FB439">
            <w:pPr>
              <w:pStyle w:val="7"/>
              <w:spacing w:before="107" w:line="189" w:lineRule="auto"/>
              <w:rPr>
                <w:highlight w:val="none"/>
              </w:rPr>
            </w:pPr>
            <w:r>
              <w:rPr>
                <w:rFonts w:hint="eastAsia"/>
                <w:highlight w:val="none"/>
                <w:lang w:val="en-US" w:eastAsia="zh-CN"/>
              </w:rPr>
              <w:t>有效合格供应商家数不足3家按入围1家，有效合格供应商家数3家以上则入围2家。</w:t>
            </w:r>
          </w:p>
        </w:tc>
        <w:tc>
          <w:tcPr>
            <w:tcW w:w="1839" w:type="dxa"/>
            <w:vAlign w:val="top"/>
          </w:tcPr>
          <w:p w14:paraId="579706B8">
            <w:pPr>
              <w:pStyle w:val="7"/>
              <w:spacing w:before="74" w:line="228" w:lineRule="auto"/>
              <w:ind w:left="127"/>
              <w:rPr>
                <w:highlight w:val="none"/>
              </w:rPr>
            </w:pPr>
            <w:r>
              <w:rPr>
                <w:spacing w:val="2"/>
                <w:highlight w:val="none"/>
              </w:rPr>
              <w:t>预算约为</w:t>
            </w:r>
            <w:r>
              <w:rPr>
                <w:spacing w:val="-16"/>
                <w:highlight w:val="none"/>
              </w:rPr>
              <w:t xml:space="preserve"> </w:t>
            </w:r>
            <w:r>
              <w:rPr>
                <w:spacing w:val="2"/>
                <w:highlight w:val="none"/>
              </w:rPr>
              <w:t>10</w:t>
            </w:r>
            <w:r>
              <w:rPr>
                <w:spacing w:val="-33"/>
                <w:highlight w:val="none"/>
              </w:rPr>
              <w:t xml:space="preserve"> </w:t>
            </w:r>
            <w:r>
              <w:rPr>
                <w:spacing w:val="2"/>
                <w:highlight w:val="none"/>
              </w:rPr>
              <w:t>万/年</w:t>
            </w:r>
          </w:p>
        </w:tc>
      </w:tr>
    </w:tbl>
    <w:p w14:paraId="2237AF54">
      <w:pPr>
        <w:spacing w:before="115" w:line="219" w:lineRule="auto"/>
        <w:ind w:left="484"/>
        <w:outlineLvl w:val="1"/>
        <w:rPr>
          <w:rFonts w:ascii="宋体" w:hAnsi="宋体" w:eastAsia="宋体" w:cs="宋体"/>
          <w:sz w:val="24"/>
          <w:szCs w:val="24"/>
          <w:highlight w:val="none"/>
        </w:rPr>
      </w:pPr>
      <w:bookmarkStart w:id="35" w:name="bookmark7"/>
      <w:bookmarkEnd w:id="35"/>
      <w:r>
        <w:rPr>
          <w:rFonts w:ascii="宋体" w:hAnsi="宋体" w:eastAsia="宋体" w:cs="宋体"/>
          <w:spacing w:val="-3"/>
          <w:sz w:val="24"/>
          <w:szCs w:val="24"/>
          <w:highlight w:val="none"/>
        </w:rPr>
        <w:t>二、资金来源</w:t>
      </w:r>
    </w:p>
    <w:p w14:paraId="2F7DCDE6">
      <w:pPr>
        <w:spacing w:before="116" w:line="219" w:lineRule="auto"/>
        <w:ind w:left="485"/>
        <w:rPr>
          <w:rFonts w:ascii="宋体" w:hAnsi="宋体" w:eastAsia="宋体" w:cs="宋体"/>
          <w:sz w:val="24"/>
          <w:szCs w:val="24"/>
          <w:highlight w:val="none"/>
        </w:rPr>
      </w:pPr>
      <w:r>
        <w:rPr>
          <w:rFonts w:ascii="宋体" w:hAnsi="宋体" w:eastAsia="宋体" w:cs="宋体"/>
          <w:spacing w:val="-3"/>
          <w:sz w:val="24"/>
          <w:szCs w:val="24"/>
          <w:highlight w:val="none"/>
        </w:rPr>
        <w:t>学校自筹。</w:t>
      </w:r>
    </w:p>
    <w:p w14:paraId="236608BC">
      <w:pPr>
        <w:spacing w:before="115" w:line="219" w:lineRule="auto"/>
        <w:ind w:left="480"/>
        <w:outlineLvl w:val="1"/>
        <w:rPr>
          <w:rFonts w:ascii="宋体" w:hAnsi="宋体" w:eastAsia="宋体" w:cs="宋体"/>
          <w:sz w:val="24"/>
          <w:szCs w:val="24"/>
          <w:highlight w:val="none"/>
        </w:rPr>
      </w:pPr>
      <w:r>
        <w:rPr>
          <w:rFonts w:ascii="宋体" w:hAnsi="宋体" w:eastAsia="宋体" w:cs="宋体"/>
          <w:spacing w:val="-2"/>
          <w:sz w:val="24"/>
          <w:szCs w:val="24"/>
          <w:highlight w:val="none"/>
        </w:rPr>
        <w:t>三、供应商资格条件</w:t>
      </w:r>
    </w:p>
    <w:p w14:paraId="6521E97A">
      <w:pPr>
        <w:spacing w:before="114" w:line="219"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（一）基本资格条件</w:t>
      </w:r>
    </w:p>
    <w:p w14:paraId="00CA2EA2">
      <w:pPr>
        <w:spacing w:before="117"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1.具有独立承担民事责任的能力；</w:t>
      </w:r>
    </w:p>
    <w:p w14:paraId="69E29E57">
      <w:pPr>
        <w:spacing w:before="116" w:line="298" w:lineRule="auto"/>
        <w:ind w:left="480" w:right="3981" w:firstLine="3"/>
        <w:rPr>
          <w:rFonts w:ascii="宋体" w:hAnsi="宋体" w:eastAsia="宋体" w:cs="宋体"/>
          <w:sz w:val="24"/>
          <w:szCs w:val="24"/>
          <w:highlight w:val="none"/>
        </w:rPr>
      </w:pPr>
      <w:r>
        <w:rPr>
          <w:rFonts w:ascii="宋体" w:hAnsi="宋体" w:eastAsia="宋体" w:cs="宋体"/>
          <w:spacing w:val="-4"/>
          <w:sz w:val="24"/>
          <w:szCs w:val="24"/>
          <w:highlight w:val="none"/>
        </w:rPr>
        <w:t>2.具有良好的商业信誉和健全的财务会计制度；</w:t>
      </w:r>
      <w:r>
        <w:rPr>
          <w:rFonts w:ascii="宋体" w:hAnsi="宋体" w:eastAsia="宋体" w:cs="宋体"/>
          <w:spacing w:val="13"/>
          <w:sz w:val="24"/>
          <w:szCs w:val="24"/>
          <w:highlight w:val="none"/>
        </w:rPr>
        <w:t xml:space="preserve"> </w:t>
      </w:r>
      <w:r>
        <w:rPr>
          <w:rFonts w:ascii="宋体" w:hAnsi="宋体" w:eastAsia="宋体" w:cs="宋体"/>
          <w:spacing w:val="-4"/>
          <w:sz w:val="24"/>
          <w:szCs w:val="24"/>
          <w:highlight w:val="none"/>
        </w:rPr>
        <w:t>3.具有履行合同所必需的设备和专业技术能力；</w:t>
      </w:r>
      <w:r>
        <w:rPr>
          <w:rFonts w:ascii="宋体" w:hAnsi="宋体" w:eastAsia="宋体" w:cs="宋体"/>
          <w:spacing w:val="17"/>
          <w:sz w:val="24"/>
          <w:szCs w:val="24"/>
          <w:highlight w:val="none"/>
        </w:rPr>
        <w:t xml:space="preserve"> </w:t>
      </w:r>
      <w:r>
        <w:rPr>
          <w:rFonts w:ascii="宋体" w:hAnsi="宋体" w:eastAsia="宋体" w:cs="宋体"/>
          <w:spacing w:val="-4"/>
          <w:sz w:val="24"/>
          <w:szCs w:val="24"/>
          <w:highlight w:val="none"/>
        </w:rPr>
        <w:t>4.有依法缴纳税收和社会保障资金的良好记录；</w:t>
      </w:r>
    </w:p>
    <w:p w14:paraId="62CD4D6E">
      <w:pPr>
        <w:spacing w:before="38" w:line="293" w:lineRule="auto"/>
        <w:ind w:left="482" w:right="2061" w:firstLine="2"/>
        <w:rPr>
          <w:rFonts w:ascii="宋体" w:hAnsi="宋体" w:eastAsia="宋体" w:cs="宋体"/>
          <w:sz w:val="24"/>
          <w:szCs w:val="24"/>
          <w:highlight w:val="none"/>
        </w:rPr>
      </w:pPr>
      <w:r>
        <w:rPr>
          <w:rFonts w:ascii="宋体" w:hAnsi="宋体" w:eastAsia="宋体" w:cs="宋体"/>
          <w:spacing w:val="-3"/>
          <w:sz w:val="24"/>
          <w:szCs w:val="24"/>
          <w:highlight w:val="none"/>
        </w:rPr>
        <w:t>5.参加本次采购活动前三年内，在经营活动中没有重大违法记录；</w:t>
      </w:r>
      <w:r>
        <w:rPr>
          <w:rFonts w:ascii="宋体" w:hAnsi="宋体" w:eastAsia="宋体" w:cs="宋体"/>
          <w:spacing w:val="13"/>
          <w:sz w:val="24"/>
          <w:szCs w:val="24"/>
          <w:highlight w:val="none"/>
        </w:rPr>
        <w:t xml:space="preserve"> </w:t>
      </w:r>
      <w:r>
        <w:rPr>
          <w:rFonts w:ascii="宋体" w:hAnsi="宋体" w:eastAsia="宋体" w:cs="宋体"/>
          <w:spacing w:val="-1"/>
          <w:sz w:val="24"/>
          <w:szCs w:val="24"/>
          <w:highlight w:val="none"/>
        </w:rPr>
        <w:t>6.法律、行政法规规定的其他条件。</w:t>
      </w:r>
    </w:p>
    <w:p w14:paraId="71C4C4C9">
      <w:pPr>
        <w:spacing w:before="37" w:line="219" w:lineRule="auto"/>
        <w:ind w:left="492"/>
        <w:rPr>
          <w:rFonts w:ascii="宋体" w:hAnsi="宋体" w:eastAsia="宋体" w:cs="宋体"/>
          <w:sz w:val="24"/>
          <w:szCs w:val="24"/>
          <w:highlight w:val="none"/>
        </w:rPr>
      </w:pPr>
      <w:bookmarkStart w:id="36" w:name="bookmark8"/>
      <w:bookmarkEnd w:id="36"/>
      <w:r>
        <w:rPr>
          <w:rFonts w:ascii="宋体" w:hAnsi="宋体" w:eastAsia="宋体" w:cs="宋体"/>
          <w:spacing w:val="-3"/>
          <w:sz w:val="24"/>
          <w:szCs w:val="24"/>
          <w:highlight w:val="none"/>
        </w:rPr>
        <w:t>（二）特定资格条件</w:t>
      </w:r>
    </w:p>
    <w:p w14:paraId="5F059093">
      <w:pPr>
        <w:spacing w:before="107" w:line="219" w:lineRule="auto"/>
        <w:ind w:firstLine="468" w:firstLineChars="200"/>
        <w:outlineLvl w:val="1"/>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具有</w:t>
      </w:r>
      <w:r>
        <w:rPr>
          <w:rFonts w:ascii="宋体" w:hAnsi="宋体" w:eastAsia="宋体" w:cs="宋体"/>
          <w:spacing w:val="-29"/>
          <w:sz w:val="24"/>
          <w:szCs w:val="24"/>
          <w:highlight w:val="none"/>
        </w:rPr>
        <w:t xml:space="preserve"> </w:t>
      </w:r>
      <w:r>
        <w:rPr>
          <w:rFonts w:hint="eastAsia" w:ascii="宋体" w:hAnsi="宋体" w:eastAsia="宋体" w:cs="宋体"/>
          <w:spacing w:val="-3"/>
          <w:sz w:val="24"/>
          <w:szCs w:val="24"/>
          <w:highlight w:val="none"/>
          <w:lang w:val="en-US" w:eastAsia="zh-CN"/>
        </w:rPr>
        <w:t xml:space="preserve">1 </w:t>
      </w:r>
      <w:r>
        <w:rPr>
          <w:rFonts w:ascii="宋体" w:hAnsi="宋体" w:eastAsia="宋体" w:cs="宋体"/>
          <w:spacing w:val="-3"/>
          <w:sz w:val="24"/>
          <w:szCs w:val="24"/>
          <w:highlight w:val="none"/>
        </w:rPr>
        <w:t>名及以上从事高空作业的人员需持有《高处作</w:t>
      </w:r>
      <w:r>
        <w:rPr>
          <w:rFonts w:ascii="宋体" w:hAnsi="宋体" w:eastAsia="宋体" w:cs="宋体"/>
          <w:sz w:val="24"/>
          <w:szCs w:val="24"/>
          <w:highlight w:val="none"/>
        </w:rPr>
        <w:t>业操作证》</w:t>
      </w:r>
      <w:r>
        <w:rPr>
          <w:rFonts w:hint="eastAsia" w:ascii="宋体" w:hAnsi="宋体" w:eastAsia="宋体" w:cs="宋体"/>
          <w:sz w:val="24"/>
          <w:szCs w:val="24"/>
          <w:highlight w:val="none"/>
          <w:lang w:val="en-US" w:eastAsia="zh-CN"/>
        </w:rPr>
        <w:t>并提供近三个月为其缴纳的社会保险证明材料。（提供相关证书复印件和社保缴纳证明材料复印件并加盖供应商公章）</w:t>
      </w:r>
    </w:p>
    <w:p w14:paraId="54882CF3">
      <w:pPr>
        <w:spacing w:before="107" w:line="219" w:lineRule="auto"/>
        <w:ind w:left="502"/>
        <w:outlineLvl w:val="1"/>
        <w:rPr>
          <w:rFonts w:ascii="宋体" w:hAnsi="宋体" w:eastAsia="宋体" w:cs="宋体"/>
          <w:sz w:val="24"/>
          <w:szCs w:val="24"/>
          <w:highlight w:val="none"/>
        </w:rPr>
      </w:pPr>
      <w:r>
        <w:rPr>
          <w:rFonts w:ascii="宋体" w:hAnsi="宋体" w:eastAsia="宋体" w:cs="宋体"/>
          <w:spacing w:val="-3"/>
          <w:sz w:val="24"/>
          <w:szCs w:val="24"/>
          <w:highlight w:val="none"/>
        </w:rPr>
        <w:t>四、投标、开标有关说明</w:t>
      </w:r>
    </w:p>
    <w:p w14:paraId="2383A208">
      <w:pPr>
        <w:spacing w:before="113" w:line="290" w:lineRule="auto"/>
        <w:ind w:firstLine="490"/>
        <w:rPr>
          <w:rFonts w:ascii="宋体" w:hAnsi="宋体" w:eastAsia="宋体" w:cs="宋体"/>
          <w:sz w:val="24"/>
          <w:szCs w:val="24"/>
          <w:highlight w:val="none"/>
        </w:rPr>
      </w:pPr>
      <w:r>
        <w:rPr>
          <w:rFonts w:ascii="宋体" w:hAnsi="宋体" w:eastAsia="宋体" w:cs="宋体"/>
          <w:spacing w:val="-3"/>
          <w:sz w:val="24"/>
          <w:szCs w:val="24"/>
          <w:highlight w:val="none"/>
        </w:rPr>
        <w:t>（一）凡有意参加本项目投标的供应商，请于本公告发布之日</w:t>
      </w:r>
      <w:r>
        <w:rPr>
          <w:rFonts w:ascii="宋体" w:hAnsi="宋体" w:eastAsia="宋体" w:cs="宋体"/>
          <w:b/>
          <w:bCs/>
          <w:spacing w:val="-3"/>
          <w:sz w:val="24"/>
          <w:szCs w:val="24"/>
          <w:highlight w:val="none"/>
        </w:rPr>
        <w:t>（</w:t>
      </w:r>
      <w:r>
        <w:rPr>
          <w:rFonts w:ascii="宋体" w:hAnsi="宋体" w:eastAsia="宋体" w:cs="宋体"/>
          <w:spacing w:val="-3"/>
          <w:sz w:val="24"/>
          <w:szCs w:val="24"/>
          <w:highlight w:val="none"/>
          <w:u w:val="single" w:color="auto"/>
        </w:rPr>
        <w:t>2025</w:t>
      </w:r>
      <w:r>
        <w:rPr>
          <w:rFonts w:ascii="宋体" w:hAnsi="宋体" w:eastAsia="宋体" w:cs="宋体"/>
          <w:spacing w:val="-40"/>
          <w:sz w:val="24"/>
          <w:szCs w:val="24"/>
          <w:highlight w:val="none"/>
          <w:u w:val="single" w:color="auto"/>
        </w:rPr>
        <w:t xml:space="preserve"> </w:t>
      </w:r>
      <w:r>
        <w:rPr>
          <w:rFonts w:ascii="宋体" w:hAnsi="宋体" w:eastAsia="宋体" w:cs="宋体"/>
          <w:spacing w:val="-3"/>
          <w:sz w:val="24"/>
          <w:szCs w:val="24"/>
          <w:highlight w:val="none"/>
        </w:rPr>
        <w:t>年</w:t>
      </w:r>
      <w:r>
        <w:rPr>
          <w:rFonts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u w:val="single" w:color="auto"/>
          <w:lang w:val="en-US" w:eastAsia="zh-CN"/>
        </w:rPr>
        <w:t>4</w:t>
      </w:r>
      <w:r>
        <w:rPr>
          <w:rFonts w:ascii="宋体" w:hAnsi="宋体" w:eastAsia="宋体" w:cs="宋体"/>
          <w:spacing w:val="-3"/>
          <w:sz w:val="24"/>
          <w:szCs w:val="24"/>
          <w:highlight w:val="none"/>
          <w:u w:val="single" w:color="auto"/>
        </w:rPr>
        <w:t xml:space="preserve"> </w:t>
      </w:r>
      <w:r>
        <w:rPr>
          <w:rFonts w:ascii="宋体" w:hAnsi="宋体" w:eastAsia="宋体" w:cs="宋体"/>
          <w:spacing w:val="-3"/>
          <w:sz w:val="24"/>
          <w:szCs w:val="24"/>
          <w:highlight w:val="none"/>
        </w:rPr>
        <w:t>月</w:t>
      </w:r>
      <w:r>
        <w:rPr>
          <w:rFonts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u w:val="single" w:color="auto"/>
          <w:lang w:val="en-US" w:eastAsia="zh-CN"/>
        </w:rPr>
        <w:t>29</w:t>
      </w:r>
      <w:r>
        <w:rPr>
          <w:rFonts w:ascii="宋体" w:hAnsi="宋体" w:eastAsia="宋体" w:cs="宋体"/>
          <w:spacing w:val="51"/>
          <w:sz w:val="24"/>
          <w:szCs w:val="24"/>
          <w:highlight w:val="none"/>
          <w:u w:val="single" w:color="auto"/>
        </w:rPr>
        <w:t xml:space="preserve"> </w:t>
      </w:r>
      <w:r>
        <w:rPr>
          <w:rFonts w:ascii="宋体" w:hAnsi="宋体" w:eastAsia="宋体" w:cs="宋体"/>
          <w:spacing w:val="-3"/>
          <w:sz w:val="24"/>
          <w:szCs w:val="24"/>
          <w:highlight w:val="none"/>
        </w:rPr>
        <w:t>日</w:t>
      </w:r>
      <w:r>
        <w:rPr>
          <w:rFonts w:ascii="宋体" w:hAnsi="宋体" w:eastAsia="宋体" w:cs="宋体"/>
          <w:b/>
          <w:bCs/>
          <w:spacing w:val="-3"/>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起至提交响应文件截止时间之前，在“行采家</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”平台（https://www.gec123</w:t>
      </w:r>
      <w:r>
        <w:rPr>
          <w:rFonts w:ascii="宋体" w:hAnsi="宋体" w:eastAsia="宋体" w:cs="宋体"/>
          <w:spacing w:val="-3"/>
          <w:sz w:val="24"/>
          <w:szCs w:val="24"/>
          <w:highlight w:val="none"/>
        </w:rPr>
        <w:t>.com/）或重庆</w:t>
      </w:r>
      <w:r>
        <w:rPr>
          <w:rFonts w:ascii="宋体" w:hAnsi="宋体" w:eastAsia="宋体" w:cs="宋体"/>
          <w:sz w:val="24"/>
          <w:szCs w:val="24"/>
          <w:highlight w:val="none"/>
        </w:rPr>
        <w:t xml:space="preserve"> 理工职业学院官网校企合作一体化招 标采购平台（http://www.cqip.com</w:t>
      </w:r>
      <w:r>
        <w:rPr>
          <w:rFonts w:ascii="宋体" w:hAnsi="宋体" w:eastAsia="宋体" w:cs="宋体"/>
          <w:spacing w:val="-1"/>
          <w:sz w:val="24"/>
          <w:szCs w:val="24"/>
          <w:highlight w:val="none"/>
        </w:rPr>
        <w:t>.cn/html/15/</w:t>
      </w:r>
      <w:r>
        <w:rPr>
          <w:rFonts w:ascii="宋体" w:hAnsi="宋体" w:eastAsia="宋体" w:cs="宋体"/>
          <w:sz w:val="24"/>
          <w:szCs w:val="24"/>
          <w:highlight w:val="none"/>
        </w:rPr>
        <w:t>Index</w:t>
      </w:r>
      <w:r>
        <w:rPr>
          <w:rFonts w:ascii="宋体" w:hAnsi="宋体" w:eastAsia="宋体" w:cs="宋体"/>
          <w:spacing w:val="1"/>
          <w:sz w:val="24"/>
          <w:szCs w:val="24"/>
          <w:highlight w:val="none"/>
        </w:rPr>
        <w:t>.</w:t>
      </w:r>
      <w:r>
        <w:rPr>
          <w:rFonts w:ascii="宋体" w:hAnsi="宋体" w:eastAsia="宋体" w:cs="宋体"/>
          <w:sz w:val="24"/>
          <w:szCs w:val="24"/>
          <w:highlight w:val="none"/>
        </w:rPr>
        <w:t>shtml</w:t>
      </w:r>
      <w:r>
        <w:rPr>
          <w:rFonts w:ascii="宋体" w:hAnsi="宋体" w:eastAsia="宋体" w:cs="宋体"/>
          <w:spacing w:val="1"/>
          <w:sz w:val="24"/>
          <w:szCs w:val="24"/>
          <w:highlight w:val="none"/>
        </w:rPr>
        <w:t>）下载本项目竞争性比选文件以及图纸、补</w:t>
      </w:r>
      <w:r>
        <w:rPr>
          <w:rFonts w:ascii="宋体" w:hAnsi="宋体" w:eastAsia="宋体" w:cs="宋体"/>
          <w:sz w:val="24"/>
          <w:szCs w:val="24"/>
          <w:highlight w:val="none"/>
        </w:rPr>
        <w:t>遗等开标前公布的所有项目资料。</w:t>
      </w:r>
      <w:r>
        <w:rPr>
          <w:rFonts w:ascii="宋体" w:hAnsi="宋体" w:eastAsia="宋体" w:cs="宋体"/>
          <w:spacing w:val="-1"/>
          <w:sz w:val="24"/>
          <w:szCs w:val="24"/>
          <w:highlight w:val="none"/>
        </w:rPr>
        <w:t>无论供应商下载与否，均视为已知晓所有比选内容。</w:t>
      </w:r>
    </w:p>
    <w:p w14:paraId="49F90580">
      <w:pPr>
        <w:spacing w:before="116"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（二）文件购买费：人民币</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200</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元/分包（递交响应文件时现场缴</w:t>
      </w:r>
      <w:r>
        <w:rPr>
          <w:rFonts w:ascii="宋体" w:hAnsi="宋体" w:eastAsia="宋体" w:cs="宋体"/>
          <w:spacing w:val="-2"/>
          <w:sz w:val="24"/>
          <w:szCs w:val="24"/>
          <w:highlight w:val="none"/>
        </w:rPr>
        <w:t>纳，售后不退）。</w:t>
      </w:r>
    </w:p>
    <w:p w14:paraId="77A37C3D">
      <w:pPr>
        <w:spacing w:before="114"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（三）供应商须满足以下三种要件，其响应文件才被接受：</w:t>
      </w:r>
    </w:p>
    <w:p w14:paraId="0C67AE40">
      <w:pPr>
        <w:spacing w:before="117" w:line="219" w:lineRule="auto"/>
        <w:ind w:left="497"/>
        <w:rPr>
          <w:rFonts w:ascii="宋体" w:hAnsi="宋体" w:eastAsia="宋体" w:cs="宋体"/>
          <w:sz w:val="24"/>
          <w:szCs w:val="24"/>
          <w:highlight w:val="none"/>
        </w:rPr>
      </w:pPr>
      <w:r>
        <w:rPr>
          <w:rFonts w:ascii="宋体" w:hAnsi="宋体" w:eastAsia="宋体" w:cs="宋体"/>
          <w:spacing w:val="-3"/>
          <w:sz w:val="24"/>
          <w:szCs w:val="24"/>
          <w:highlight w:val="none"/>
        </w:rPr>
        <w:t>1、按时递交了响应文件；</w:t>
      </w:r>
    </w:p>
    <w:p w14:paraId="72A577A6">
      <w:pPr>
        <w:spacing w:before="116" w:line="219"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2、按时报名签到；</w:t>
      </w:r>
    </w:p>
    <w:p w14:paraId="516D46FB">
      <w:pPr>
        <w:spacing w:before="114"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3、缴纳了竞争性比选文件购买费。</w:t>
      </w:r>
    </w:p>
    <w:p w14:paraId="42B82869">
      <w:pPr>
        <w:spacing w:before="115" w:line="268" w:lineRule="auto"/>
        <w:ind w:left="4" w:right="99" w:firstLine="486"/>
        <w:rPr>
          <w:rFonts w:ascii="宋体" w:hAnsi="宋体" w:eastAsia="宋体" w:cs="宋体"/>
          <w:sz w:val="24"/>
          <w:szCs w:val="24"/>
          <w:highlight w:val="none"/>
        </w:rPr>
      </w:pPr>
      <w:r>
        <w:rPr>
          <w:rFonts w:ascii="宋体" w:hAnsi="宋体" w:eastAsia="宋体" w:cs="宋体"/>
          <w:spacing w:val="-1"/>
          <w:sz w:val="24"/>
          <w:szCs w:val="24"/>
          <w:highlight w:val="none"/>
        </w:rPr>
        <w:t>（四）开标地点：重庆市巴南区界石镇东城大道 588</w:t>
      </w:r>
      <w:r>
        <w:rPr>
          <w:rFonts w:ascii="宋体" w:hAnsi="宋体" w:eastAsia="宋体" w:cs="宋体"/>
          <w:spacing w:val="-45"/>
          <w:sz w:val="24"/>
          <w:szCs w:val="24"/>
          <w:highlight w:val="none"/>
        </w:rPr>
        <w:t xml:space="preserve"> </w:t>
      </w:r>
      <w:r>
        <w:rPr>
          <w:rFonts w:ascii="宋体" w:hAnsi="宋体" w:eastAsia="宋体" w:cs="宋体"/>
          <w:spacing w:val="-1"/>
          <w:sz w:val="24"/>
          <w:szCs w:val="24"/>
          <w:highlight w:val="none"/>
        </w:rPr>
        <w:t>号重庆理工职业学</w:t>
      </w:r>
      <w:r>
        <w:rPr>
          <w:rFonts w:ascii="宋体" w:hAnsi="宋体" w:eastAsia="宋体" w:cs="宋体"/>
          <w:spacing w:val="-2"/>
          <w:sz w:val="24"/>
          <w:szCs w:val="24"/>
          <w:highlight w:val="none"/>
        </w:rPr>
        <w:t>院行政楼五楼</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519</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室</w:t>
      </w:r>
    </w:p>
    <w:p w14:paraId="34B2F62C">
      <w:pPr>
        <w:spacing w:before="103" w:line="219" w:lineRule="auto"/>
        <w:ind w:left="491"/>
        <w:rPr>
          <w:rFonts w:ascii="宋体" w:hAnsi="宋体" w:eastAsia="宋体" w:cs="宋体"/>
          <w:sz w:val="24"/>
          <w:szCs w:val="24"/>
          <w:highlight w:val="none"/>
        </w:rPr>
      </w:pPr>
      <w:r>
        <w:rPr>
          <w:rFonts w:ascii="宋体" w:hAnsi="宋体" w:eastAsia="宋体" w:cs="宋体"/>
          <w:spacing w:val="-4"/>
          <w:sz w:val="24"/>
          <w:szCs w:val="24"/>
          <w:highlight w:val="none"/>
        </w:rPr>
        <w:t>（五）响应文件递交时间：2025</w:t>
      </w:r>
      <w:r>
        <w:rPr>
          <w:rFonts w:ascii="宋体" w:hAnsi="宋体" w:eastAsia="宋体" w:cs="宋体"/>
          <w:spacing w:val="-50"/>
          <w:sz w:val="24"/>
          <w:szCs w:val="24"/>
          <w:highlight w:val="none"/>
        </w:rPr>
        <w:t xml:space="preserve"> </w:t>
      </w:r>
      <w:r>
        <w:rPr>
          <w:rFonts w:ascii="宋体" w:hAnsi="宋体" w:eastAsia="宋体" w:cs="宋体"/>
          <w:spacing w:val="-4"/>
          <w:sz w:val="24"/>
          <w:szCs w:val="24"/>
          <w:highlight w:val="none"/>
        </w:rPr>
        <w:t>年</w:t>
      </w:r>
      <w:r>
        <w:rPr>
          <w:rFonts w:hint="eastAsia" w:ascii="宋体" w:hAnsi="宋体" w:eastAsia="宋体" w:cs="宋体"/>
          <w:spacing w:val="-52"/>
          <w:sz w:val="24"/>
          <w:szCs w:val="24"/>
          <w:highlight w:val="none"/>
          <w:lang w:val="en-US" w:eastAsia="zh-CN"/>
        </w:rPr>
        <w:t xml:space="preserve">5 </w:t>
      </w:r>
      <w:r>
        <w:rPr>
          <w:rFonts w:ascii="宋体" w:hAnsi="宋体" w:eastAsia="宋体" w:cs="宋体"/>
          <w:spacing w:val="-4"/>
          <w:sz w:val="24"/>
          <w:szCs w:val="24"/>
          <w:highlight w:val="none"/>
        </w:rPr>
        <w:t>月</w:t>
      </w:r>
      <w:r>
        <w:rPr>
          <w:rFonts w:hint="eastAsia" w:ascii="宋体" w:hAnsi="宋体" w:eastAsia="宋体" w:cs="宋体"/>
          <w:spacing w:val="-32"/>
          <w:sz w:val="24"/>
          <w:szCs w:val="24"/>
          <w:highlight w:val="none"/>
          <w:lang w:val="en-US" w:eastAsia="zh-CN"/>
        </w:rPr>
        <w:t xml:space="preserve">12 </w:t>
      </w:r>
      <w:r>
        <w:rPr>
          <w:rFonts w:ascii="宋体" w:hAnsi="宋体" w:eastAsia="宋体" w:cs="宋体"/>
          <w:spacing w:val="-5"/>
          <w:sz w:val="24"/>
          <w:szCs w:val="24"/>
          <w:highlight w:val="none"/>
        </w:rPr>
        <w:t>日北京时间</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14:00—14:30</w:t>
      </w:r>
    </w:p>
    <w:p w14:paraId="0566595D">
      <w:pPr>
        <w:spacing w:before="116" w:line="219" w:lineRule="auto"/>
        <w:ind w:left="491"/>
        <w:rPr>
          <w:rFonts w:ascii="宋体" w:hAnsi="宋体" w:eastAsia="宋体" w:cs="宋体"/>
          <w:sz w:val="24"/>
          <w:szCs w:val="24"/>
          <w:highlight w:val="none"/>
        </w:rPr>
      </w:pPr>
      <w:r>
        <w:rPr>
          <w:rFonts w:ascii="宋体" w:hAnsi="宋体" w:eastAsia="宋体" w:cs="宋体"/>
          <w:spacing w:val="-4"/>
          <w:sz w:val="24"/>
          <w:szCs w:val="24"/>
          <w:highlight w:val="none"/>
        </w:rPr>
        <w:t>（六）开标时间（响应文件递交截止时间</w:t>
      </w:r>
      <w:r>
        <w:rPr>
          <w:rFonts w:ascii="宋体" w:hAnsi="宋体" w:eastAsia="宋体" w:cs="宋体"/>
          <w:spacing w:val="6"/>
          <w:sz w:val="24"/>
          <w:szCs w:val="24"/>
          <w:highlight w:val="none"/>
        </w:rPr>
        <w:t>）：</w:t>
      </w:r>
      <w:r>
        <w:rPr>
          <w:rFonts w:ascii="宋体" w:hAnsi="宋体" w:eastAsia="宋体" w:cs="宋体"/>
          <w:spacing w:val="-4"/>
          <w:sz w:val="24"/>
          <w:szCs w:val="24"/>
          <w:highlight w:val="none"/>
        </w:rPr>
        <w:t>2025</w:t>
      </w:r>
      <w:r>
        <w:rPr>
          <w:rFonts w:ascii="宋体" w:hAnsi="宋体" w:eastAsia="宋体" w:cs="宋体"/>
          <w:spacing w:val="-49"/>
          <w:sz w:val="24"/>
          <w:szCs w:val="24"/>
          <w:highlight w:val="none"/>
        </w:rPr>
        <w:t xml:space="preserve"> </w:t>
      </w:r>
      <w:r>
        <w:rPr>
          <w:rFonts w:ascii="宋体" w:hAnsi="宋体" w:eastAsia="宋体" w:cs="宋体"/>
          <w:spacing w:val="-4"/>
          <w:sz w:val="24"/>
          <w:szCs w:val="24"/>
          <w:highlight w:val="none"/>
        </w:rPr>
        <w:t>年</w:t>
      </w:r>
      <w:r>
        <w:rPr>
          <w:rFonts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lang w:val="en-US" w:eastAsia="zh-CN"/>
        </w:rPr>
        <w:t>5</w:t>
      </w:r>
      <w:r>
        <w:rPr>
          <w:rFonts w:ascii="宋体" w:hAnsi="宋体" w:eastAsia="宋体" w:cs="宋体"/>
          <w:spacing w:val="-4"/>
          <w:sz w:val="24"/>
          <w:szCs w:val="24"/>
          <w:highlight w:val="none"/>
        </w:rPr>
        <w:t>月</w:t>
      </w:r>
      <w:r>
        <w:rPr>
          <w:rFonts w:hint="eastAsia" w:ascii="宋体" w:hAnsi="宋体" w:eastAsia="宋体" w:cs="宋体"/>
          <w:spacing w:val="-32"/>
          <w:sz w:val="24"/>
          <w:szCs w:val="24"/>
          <w:highlight w:val="none"/>
          <w:lang w:val="en-US" w:eastAsia="zh-CN"/>
        </w:rPr>
        <w:t xml:space="preserve">12 </w:t>
      </w:r>
      <w:r>
        <w:rPr>
          <w:rFonts w:ascii="宋体" w:hAnsi="宋体" w:eastAsia="宋体" w:cs="宋体"/>
          <w:spacing w:val="-5"/>
          <w:sz w:val="24"/>
          <w:szCs w:val="24"/>
          <w:highlight w:val="none"/>
        </w:rPr>
        <w:t>日北京时间</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14:30</w:t>
      </w:r>
    </w:p>
    <w:p w14:paraId="610F7115">
      <w:pPr>
        <w:spacing w:before="116" w:line="220" w:lineRule="auto"/>
        <w:ind w:left="483"/>
        <w:outlineLvl w:val="1"/>
        <w:rPr>
          <w:rFonts w:ascii="宋体" w:hAnsi="宋体" w:eastAsia="宋体" w:cs="宋体"/>
          <w:sz w:val="24"/>
          <w:szCs w:val="24"/>
          <w:highlight w:val="none"/>
        </w:rPr>
      </w:pPr>
      <w:bookmarkStart w:id="37" w:name="bookmark10"/>
      <w:bookmarkEnd w:id="37"/>
      <w:r>
        <w:rPr>
          <w:rFonts w:ascii="宋体" w:hAnsi="宋体" w:eastAsia="宋体" w:cs="宋体"/>
          <w:spacing w:val="-2"/>
          <w:sz w:val="24"/>
          <w:szCs w:val="24"/>
          <w:highlight w:val="none"/>
        </w:rPr>
        <w:t>五、比选保证金</w:t>
      </w:r>
    </w:p>
    <w:p w14:paraId="4475B887">
      <w:pPr>
        <w:spacing w:before="146" w:line="219" w:lineRule="auto"/>
        <w:ind w:left="491"/>
        <w:rPr>
          <w:rFonts w:ascii="宋体" w:hAnsi="宋体" w:eastAsia="宋体" w:cs="宋体"/>
          <w:sz w:val="24"/>
          <w:szCs w:val="24"/>
          <w:highlight w:val="none"/>
        </w:rPr>
      </w:pPr>
      <w:r>
        <w:rPr>
          <w:rFonts w:ascii="宋体" w:hAnsi="宋体" w:eastAsia="宋体" w:cs="宋体"/>
          <w:spacing w:val="-3"/>
          <w:sz w:val="24"/>
          <w:szCs w:val="24"/>
          <w:highlight w:val="none"/>
        </w:rPr>
        <w:t>（一）比选保证金金额</w:t>
      </w:r>
    </w:p>
    <w:p w14:paraId="73C3A8BF">
      <w:pPr>
        <w:spacing w:before="155"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详见第一篇竞争性比选内容表。</w:t>
      </w:r>
    </w:p>
    <w:p w14:paraId="70A0E8B0">
      <w:pPr>
        <w:spacing w:before="123" w:line="219" w:lineRule="auto"/>
        <w:ind w:left="491"/>
        <w:rPr>
          <w:rFonts w:ascii="宋体" w:hAnsi="宋体" w:eastAsia="宋体" w:cs="宋体"/>
          <w:sz w:val="24"/>
          <w:szCs w:val="24"/>
          <w:highlight w:val="none"/>
        </w:rPr>
      </w:pPr>
      <w:r>
        <w:rPr>
          <w:rFonts w:ascii="宋体" w:hAnsi="宋体" w:eastAsia="宋体" w:cs="宋体"/>
          <w:spacing w:val="-2"/>
          <w:sz w:val="24"/>
          <w:szCs w:val="24"/>
          <w:highlight w:val="none"/>
        </w:rPr>
        <w:t>（二）缴纳比选保证金相关说明</w:t>
      </w:r>
    </w:p>
    <w:p w14:paraId="502EBA01">
      <w:pPr>
        <w:spacing w:before="146" w:line="325" w:lineRule="auto"/>
        <w:ind w:left="1" w:right="151" w:firstLine="495"/>
        <w:rPr>
          <w:rFonts w:ascii="宋体" w:hAnsi="宋体" w:eastAsia="宋体" w:cs="宋体"/>
          <w:sz w:val="24"/>
          <w:szCs w:val="24"/>
          <w:highlight w:val="none"/>
        </w:rPr>
      </w:pPr>
      <w:r>
        <w:rPr>
          <w:rFonts w:ascii="宋体" w:hAnsi="宋体" w:eastAsia="宋体" w:cs="宋体"/>
          <w:spacing w:val="-1"/>
          <w:sz w:val="24"/>
          <w:szCs w:val="24"/>
          <w:highlight w:val="none"/>
        </w:rPr>
        <w:t>1.供应商须按本项目规定的金额缴纳比选保证金，由供应商从其银行账户将比选保证</w:t>
      </w:r>
      <w:r>
        <w:rPr>
          <w:rFonts w:ascii="宋体" w:hAnsi="宋体" w:eastAsia="宋体" w:cs="宋体"/>
          <w:spacing w:val="9"/>
          <w:sz w:val="24"/>
          <w:szCs w:val="24"/>
          <w:highlight w:val="none"/>
        </w:rPr>
        <w:t xml:space="preserve"> </w:t>
      </w:r>
      <w:r>
        <w:rPr>
          <w:rFonts w:ascii="宋体" w:hAnsi="宋体" w:eastAsia="宋体" w:cs="宋体"/>
          <w:sz w:val="24"/>
          <w:szCs w:val="24"/>
          <w:highlight w:val="none"/>
        </w:rPr>
        <w:t>金汇至以下账户，比选保证金的到账截止时间</w:t>
      </w:r>
      <w:r>
        <w:rPr>
          <w:rFonts w:ascii="宋体" w:hAnsi="宋体" w:eastAsia="宋体" w:cs="宋体"/>
          <w:spacing w:val="-1"/>
          <w:sz w:val="24"/>
          <w:szCs w:val="24"/>
          <w:highlight w:val="none"/>
        </w:rPr>
        <w:t>为响应文件递交截止时间前。</w:t>
      </w:r>
    </w:p>
    <w:p w14:paraId="0EBCF108">
      <w:pPr>
        <w:spacing w:before="3" w:line="295" w:lineRule="auto"/>
        <w:ind w:left="480" w:right="3991"/>
        <w:rPr>
          <w:rFonts w:ascii="宋体" w:hAnsi="宋体" w:eastAsia="宋体" w:cs="宋体"/>
          <w:sz w:val="24"/>
          <w:szCs w:val="24"/>
          <w:highlight w:val="none"/>
        </w:rPr>
      </w:pPr>
      <w:r>
        <w:rPr>
          <w:rFonts w:ascii="宋体" w:hAnsi="宋体" w:eastAsia="宋体" w:cs="宋体"/>
          <w:spacing w:val="-3"/>
          <w:sz w:val="24"/>
          <w:szCs w:val="24"/>
          <w:highlight w:val="none"/>
        </w:rPr>
        <w:t>户  名：中科高盛咨询集团有限公司重庆分公司 开户行：恒丰银行股份有限公司重庆渝北支</w:t>
      </w:r>
      <w:r>
        <w:rPr>
          <w:rFonts w:ascii="宋体" w:hAnsi="宋体" w:eastAsia="宋体" w:cs="宋体"/>
          <w:spacing w:val="-1"/>
          <w:sz w:val="24"/>
          <w:szCs w:val="24"/>
          <w:highlight w:val="none"/>
        </w:rPr>
        <w:t>行</w:t>
      </w:r>
    </w:p>
    <w:p w14:paraId="6BAAB318">
      <w:pPr>
        <w:spacing w:before="35" w:line="220"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行  号：315653026010</w:t>
      </w:r>
    </w:p>
    <w:p w14:paraId="4EF318B3">
      <w:pPr>
        <w:spacing w:before="112" w:line="221" w:lineRule="auto"/>
        <w:ind w:left="483"/>
        <w:rPr>
          <w:rFonts w:ascii="宋体" w:hAnsi="宋体" w:eastAsia="宋体" w:cs="宋体"/>
          <w:sz w:val="24"/>
          <w:szCs w:val="24"/>
          <w:highlight w:val="none"/>
        </w:rPr>
      </w:pPr>
      <w:r>
        <w:rPr>
          <w:rFonts w:ascii="宋体" w:hAnsi="宋体" w:eastAsia="宋体" w:cs="宋体"/>
          <w:spacing w:val="-3"/>
          <w:sz w:val="24"/>
          <w:szCs w:val="24"/>
          <w:highlight w:val="none"/>
        </w:rPr>
        <w:t>账  号：5005</w:t>
      </w:r>
      <w:r>
        <w:rPr>
          <w:rFonts w:ascii="宋体" w:hAnsi="宋体" w:eastAsia="宋体" w:cs="宋体"/>
          <w:spacing w:val="12"/>
          <w:sz w:val="24"/>
          <w:szCs w:val="24"/>
          <w:highlight w:val="none"/>
        </w:rPr>
        <w:t xml:space="preserve">  </w:t>
      </w:r>
      <w:r>
        <w:rPr>
          <w:rFonts w:ascii="宋体" w:hAnsi="宋体" w:eastAsia="宋体" w:cs="宋体"/>
          <w:spacing w:val="-3"/>
          <w:sz w:val="24"/>
          <w:szCs w:val="24"/>
          <w:highlight w:val="none"/>
        </w:rPr>
        <w:t>0101</w:t>
      </w:r>
      <w:r>
        <w:rPr>
          <w:rFonts w:ascii="宋体" w:hAnsi="宋体" w:eastAsia="宋体" w:cs="宋体"/>
          <w:spacing w:val="7"/>
          <w:sz w:val="24"/>
          <w:szCs w:val="24"/>
          <w:highlight w:val="none"/>
        </w:rPr>
        <w:t xml:space="preserve">  </w:t>
      </w:r>
      <w:r>
        <w:rPr>
          <w:rFonts w:ascii="宋体" w:hAnsi="宋体" w:eastAsia="宋体" w:cs="宋体"/>
          <w:spacing w:val="-3"/>
          <w:sz w:val="24"/>
          <w:szCs w:val="24"/>
          <w:highlight w:val="none"/>
        </w:rPr>
        <w:t>2601</w:t>
      </w:r>
      <w:r>
        <w:rPr>
          <w:rFonts w:ascii="宋体" w:hAnsi="宋体" w:eastAsia="宋体" w:cs="宋体"/>
          <w:spacing w:val="5"/>
          <w:sz w:val="24"/>
          <w:szCs w:val="24"/>
          <w:highlight w:val="none"/>
        </w:rPr>
        <w:t xml:space="preserve">  </w:t>
      </w:r>
      <w:r>
        <w:rPr>
          <w:rFonts w:ascii="宋体" w:hAnsi="宋体" w:eastAsia="宋体" w:cs="宋体"/>
          <w:spacing w:val="-3"/>
          <w:sz w:val="24"/>
          <w:szCs w:val="24"/>
          <w:highlight w:val="none"/>
        </w:rPr>
        <w:t>0000</w:t>
      </w:r>
      <w:r>
        <w:rPr>
          <w:rFonts w:ascii="宋体" w:hAnsi="宋体" w:eastAsia="宋体" w:cs="宋体"/>
          <w:spacing w:val="6"/>
          <w:sz w:val="24"/>
          <w:szCs w:val="24"/>
          <w:highlight w:val="none"/>
        </w:rPr>
        <w:t xml:space="preserve">  </w:t>
      </w:r>
      <w:r>
        <w:rPr>
          <w:rFonts w:ascii="宋体" w:hAnsi="宋体" w:eastAsia="宋体" w:cs="宋体"/>
          <w:spacing w:val="-3"/>
          <w:sz w:val="24"/>
          <w:szCs w:val="24"/>
          <w:highlight w:val="none"/>
        </w:rPr>
        <w:t>0065</w:t>
      </w:r>
    </w:p>
    <w:p w14:paraId="3A5F1E3C">
      <w:pPr>
        <w:spacing w:before="113" w:line="295" w:lineRule="auto"/>
        <w:ind w:left="21" w:right="151" w:firstLine="461"/>
        <w:rPr>
          <w:rFonts w:ascii="宋体" w:hAnsi="宋体" w:eastAsia="宋体" w:cs="宋体"/>
          <w:sz w:val="24"/>
          <w:szCs w:val="24"/>
          <w:highlight w:val="none"/>
        </w:rPr>
      </w:pPr>
      <w:r>
        <w:rPr>
          <w:rFonts w:ascii="宋体" w:hAnsi="宋体" w:eastAsia="宋体" w:cs="宋体"/>
          <w:spacing w:val="-1"/>
          <w:sz w:val="24"/>
          <w:szCs w:val="24"/>
          <w:highlight w:val="none"/>
        </w:rPr>
        <w:t>2.供应商必须在付款凭证备注栏中注明“重庆理工职业学院</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2025-2026</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年零星维修入</w:t>
      </w:r>
      <w:r>
        <w:rPr>
          <w:rFonts w:ascii="宋体" w:hAnsi="宋体" w:eastAsia="宋体" w:cs="宋体"/>
          <w:spacing w:val="-3"/>
          <w:sz w:val="24"/>
          <w:szCs w:val="24"/>
          <w:highlight w:val="none"/>
        </w:rPr>
        <w:t>围采购项目比选保证金+包号</w:t>
      </w:r>
      <w:r>
        <w:rPr>
          <w:rFonts w:ascii="宋体" w:hAnsi="宋体" w:eastAsia="宋体" w:cs="宋体"/>
          <w:spacing w:val="-71"/>
          <w:sz w:val="24"/>
          <w:szCs w:val="24"/>
          <w:highlight w:val="none"/>
        </w:rPr>
        <w:t xml:space="preserve"> </w:t>
      </w:r>
      <w:r>
        <w:rPr>
          <w:rFonts w:ascii="宋体" w:hAnsi="宋体" w:eastAsia="宋体" w:cs="宋体"/>
          <w:spacing w:val="-3"/>
          <w:sz w:val="24"/>
          <w:szCs w:val="24"/>
          <w:highlight w:val="none"/>
        </w:rPr>
        <w:t>”（可简写但包号必须填写）。</w:t>
      </w:r>
    </w:p>
    <w:p w14:paraId="6F08258B">
      <w:pPr>
        <w:spacing w:before="32" w:line="300" w:lineRule="auto"/>
        <w:ind w:right="151" w:firstLine="484"/>
        <w:rPr>
          <w:rFonts w:ascii="宋体" w:hAnsi="宋体" w:eastAsia="宋体" w:cs="宋体"/>
          <w:spacing w:val="-1"/>
          <w:sz w:val="24"/>
          <w:szCs w:val="24"/>
          <w:highlight w:val="none"/>
        </w:rPr>
      </w:pPr>
      <w:r>
        <w:rPr>
          <w:rFonts w:ascii="宋体" w:hAnsi="宋体" w:eastAsia="宋体" w:cs="宋体"/>
          <w:sz w:val="24"/>
          <w:szCs w:val="24"/>
          <w:highlight w:val="none"/>
        </w:rPr>
        <w:t>3.比选保证金的到账截止时间为响应文件递交截</w:t>
      </w:r>
      <w:r>
        <w:rPr>
          <w:rFonts w:ascii="宋体" w:hAnsi="宋体" w:eastAsia="宋体" w:cs="宋体"/>
          <w:spacing w:val="-1"/>
          <w:sz w:val="24"/>
          <w:szCs w:val="24"/>
          <w:highlight w:val="none"/>
        </w:rPr>
        <w:t>止时间前。各供应商在银行转账</w:t>
      </w:r>
    </w:p>
    <w:p w14:paraId="3D213F5D">
      <w:pPr>
        <w:spacing w:before="32" w:line="300" w:lineRule="auto"/>
        <w:ind w:right="151"/>
        <w:rPr>
          <w:rFonts w:ascii="宋体" w:hAnsi="宋体" w:eastAsia="宋体" w:cs="宋体"/>
          <w:sz w:val="24"/>
          <w:szCs w:val="24"/>
          <w:highlight w:val="none"/>
        </w:rPr>
      </w:pPr>
      <w:r>
        <w:rPr>
          <w:rFonts w:ascii="宋体" w:hAnsi="宋体" w:eastAsia="宋体" w:cs="宋体"/>
          <w:spacing w:val="-1"/>
          <w:sz w:val="24"/>
          <w:szCs w:val="24"/>
          <w:highlight w:val="none"/>
        </w:rPr>
        <w:t>（电</w:t>
      </w:r>
      <w:r>
        <w:rPr>
          <w:rFonts w:ascii="宋体" w:hAnsi="宋体" w:eastAsia="宋体" w:cs="宋体"/>
          <w:sz w:val="24"/>
          <w:szCs w:val="24"/>
          <w:highlight w:val="none"/>
        </w:rPr>
        <w:t xml:space="preserve"> 汇）时，须充分考虑银行转账（电汇）的时间差风险，如同城转</w:t>
      </w:r>
      <w:r>
        <w:rPr>
          <w:rFonts w:ascii="宋体" w:hAnsi="宋体" w:eastAsia="宋体" w:cs="宋体"/>
          <w:spacing w:val="-1"/>
          <w:sz w:val="24"/>
          <w:szCs w:val="24"/>
          <w:highlight w:val="none"/>
        </w:rPr>
        <w:t>账、异地转账或汇款、跨行转账或电汇的时间要求。</w:t>
      </w:r>
    </w:p>
    <w:p w14:paraId="14F1FDA6">
      <w:pPr>
        <w:spacing w:before="31" w:line="295" w:lineRule="auto"/>
        <w:ind w:left="484" w:right="2351" w:hanging="5"/>
        <w:rPr>
          <w:rFonts w:ascii="宋体" w:hAnsi="宋体" w:eastAsia="宋体" w:cs="宋体"/>
          <w:sz w:val="24"/>
          <w:szCs w:val="24"/>
          <w:highlight w:val="none"/>
        </w:rPr>
      </w:pPr>
      <w:r>
        <w:rPr>
          <w:rFonts w:ascii="宋体" w:hAnsi="宋体" w:eastAsia="宋体" w:cs="宋体"/>
          <w:spacing w:val="-2"/>
          <w:sz w:val="24"/>
          <w:szCs w:val="24"/>
          <w:highlight w:val="none"/>
        </w:rPr>
        <w:t>4.各供应商缴纳比选保证金的到款账户为上述指定的专用账户</w:t>
      </w:r>
      <w:r>
        <w:rPr>
          <w:rFonts w:hint="eastAsia" w:ascii="宋体" w:hAnsi="宋体" w:eastAsia="宋体" w:cs="宋体"/>
          <w:spacing w:val="-2"/>
          <w:sz w:val="24"/>
          <w:szCs w:val="24"/>
          <w:highlight w:val="none"/>
          <w:lang w:eastAsia="zh-CN"/>
        </w:rPr>
        <w:t>。</w:t>
      </w:r>
      <w:r>
        <w:rPr>
          <w:rFonts w:ascii="宋体" w:hAnsi="宋体" w:eastAsia="宋体" w:cs="宋体"/>
          <w:spacing w:val="-1"/>
          <w:sz w:val="24"/>
          <w:szCs w:val="24"/>
          <w:highlight w:val="none"/>
        </w:rPr>
        <w:t>5.每个分包都需要按要求缴纳比选保证金。</w:t>
      </w:r>
    </w:p>
    <w:p w14:paraId="675858C2">
      <w:pPr>
        <w:spacing w:before="35" w:line="220" w:lineRule="auto"/>
        <w:ind w:left="491"/>
        <w:rPr>
          <w:rFonts w:ascii="宋体" w:hAnsi="宋体" w:eastAsia="宋体" w:cs="宋体"/>
          <w:sz w:val="24"/>
          <w:szCs w:val="24"/>
          <w:highlight w:val="none"/>
        </w:rPr>
      </w:pPr>
      <w:r>
        <w:rPr>
          <w:rFonts w:ascii="宋体" w:hAnsi="宋体" w:eastAsia="宋体" w:cs="宋体"/>
          <w:spacing w:val="-3"/>
          <w:sz w:val="24"/>
          <w:szCs w:val="24"/>
          <w:highlight w:val="none"/>
        </w:rPr>
        <w:t>（三）保证金退还方式</w:t>
      </w:r>
    </w:p>
    <w:p w14:paraId="0E26606A">
      <w:pPr>
        <w:spacing w:before="43" w:line="288" w:lineRule="auto"/>
        <w:ind w:left="32"/>
        <w:jc w:val="right"/>
        <w:rPr>
          <w:rFonts w:ascii="宋体" w:hAnsi="宋体" w:eastAsia="宋体" w:cs="宋体"/>
          <w:sz w:val="24"/>
          <w:szCs w:val="24"/>
          <w:highlight w:val="none"/>
        </w:rPr>
      </w:pPr>
      <w:r>
        <w:rPr>
          <w:rFonts w:ascii="宋体" w:hAnsi="宋体" w:eastAsia="宋体" w:cs="宋体"/>
          <w:spacing w:val="-1"/>
          <w:sz w:val="24"/>
          <w:szCs w:val="24"/>
          <w:highlight w:val="none"/>
        </w:rPr>
        <w:t>1.未入围供应商的保证金，在成交通知书发放后，5</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个工作日内按来款渠</w:t>
      </w:r>
      <w:r>
        <w:rPr>
          <w:rFonts w:ascii="宋体" w:hAnsi="宋体" w:eastAsia="宋体" w:cs="宋体"/>
          <w:spacing w:val="-2"/>
          <w:sz w:val="24"/>
          <w:szCs w:val="24"/>
          <w:highlight w:val="none"/>
        </w:rPr>
        <w:t>道直接退还。</w:t>
      </w:r>
    </w:p>
    <w:p w14:paraId="3034B0FE">
      <w:pPr>
        <w:spacing w:before="56" w:line="293" w:lineRule="auto"/>
        <w:ind w:left="2" w:right="193" w:firstLine="480"/>
        <w:rPr>
          <w:rFonts w:ascii="宋体" w:hAnsi="宋体" w:eastAsia="宋体" w:cs="宋体"/>
          <w:sz w:val="24"/>
          <w:szCs w:val="24"/>
          <w:highlight w:val="none"/>
        </w:rPr>
      </w:pPr>
      <w:r>
        <w:rPr>
          <w:rFonts w:ascii="宋体" w:hAnsi="宋体" w:eastAsia="宋体" w:cs="宋体"/>
          <w:spacing w:val="-1"/>
          <w:sz w:val="24"/>
          <w:szCs w:val="24"/>
          <w:highlight w:val="none"/>
        </w:rPr>
        <w:t>2.入围供应商的比选保证金，在入围供应商与采购人签订合同后，5</w:t>
      </w:r>
      <w:r>
        <w:rPr>
          <w:rFonts w:ascii="宋体" w:hAnsi="宋体" w:eastAsia="宋体" w:cs="宋体"/>
          <w:spacing w:val="-36"/>
          <w:sz w:val="24"/>
          <w:szCs w:val="24"/>
          <w:highlight w:val="none"/>
        </w:rPr>
        <w:t xml:space="preserve"> </w:t>
      </w:r>
      <w:r>
        <w:rPr>
          <w:rFonts w:ascii="宋体" w:hAnsi="宋体" w:eastAsia="宋体" w:cs="宋体"/>
          <w:spacing w:val="-1"/>
          <w:sz w:val="24"/>
          <w:szCs w:val="24"/>
          <w:highlight w:val="none"/>
        </w:rPr>
        <w:t>个工作日内按资</w:t>
      </w:r>
      <w:r>
        <w:rPr>
          <w:rFonts w:ascii="宋体" w:hAnsi="宋体" w:eastAsia="宋体" w:cs="宋体"/>
          <w:sz w:val="24"/>
          <w:szCs w:val="24"/>
          <w:highlight w:val="none"/>
        </w:rPr>
        <w:t xml:space="preserve"> </w:t>
      </w:r>
      <w:bookmarkStart w:id="38" w:name="bookmark12"/>
      <w:bookmarkEnd w:id="38"/>
      <w:r>
        <w:rPr>
          <w:rFonts w:ascii="宋体" w:hAnsi="宋体" w:eastAsia="宋体" w:cs="宋体"/>
          <w:spacing w:val="-2"/>
          <w:sz w:val="24"/>
          <w:szCs w:val="24"/>
          <w:highlight w:val="none"/>
        </w:rPr>
        <w:t>金来款渠道直接退还。</w:t>
      </w:r>
    </w:p>
    <w:p w14:paraId="27F2D6BE">
      <w:pPr>
        <w:spacing w:before="37" w:line="220" w:lineRule="auto"/>
        <w:ind w:left="482"/>
        <w:outlineLvl w:val="1"/>
        <w:rPr>
          <w:rFonts w:ascii="宋体" w:hAnsi="宋体" w:eastAsia="宋体" w:cs="宋体"/>
          <w:sz w:val="24"/>
          <w:szCs w:val="24"/>
          <w:highlight w:val="none"/>
        </w:rPr>
      </w:pPr>
      <w:r>
        <w:rPr>
          <w:rFonts w:ascii="宋体" w:hAnsi="宋体" w:eastAsia="宋体" w:cs="宋体"/>
          <w:spacing w:val="-2"/>
          <w:sz w:val="24"/>
          <w:szCs w:val="24"/>
          <w:highlight w:val="none"/>
        </w:rPr>
        <w:t>六、其它有关规定</w:t>
      </w:r>
    </w:p>
    <w:p w14:paraId="30D591F5">
      <w:pPr>
        <w:spacing w:before="115" w:line="263" w:lineRule="auto"/>
        <w:ind w:left="1" w:right="80" w:firstLine="370"/>
        <w:rPr>
          <w:rFonts w:ascii="宋体" w:hAnsi="宋体" w:eastAsia="宋体" w:cs="宋体"/>
          <w:sz w:val="24"/>
          <w:szCs w:val="24"/>
          <w:highlight w:val="none"/>
        </w:rPr>
      </w:pPr>
      <w:r>
        <w:rPr>
          <w:rFonts w:ascii="宋体" w:hAnsi="宋体" w:eastAsia="宋体" w:cs="宋体"/>
          <w:spacing w:val="-2"/>
          <w:sz w:val="24"/>
          <w:szCs w:val="24"/>
          <w:highlight w:val="none"/>
        </w:rPr>
        <w:t>（一）单位负责人为同一人或者存在直接控股、管理关</w:t>
      </w:r>
      <w:r>
        <w:rPr>
          <w:rFonts w:ascii="宋体" w:hAnsi="宋体" w:eastAsia="宋体" w:cs="宋体"/>
          <w:spacing w:val="-3"/>
          <w:sz w:val="24"/>
          <w:szCs w:val="24"/>
          <w:highlight w:val="none"/>
        </w:rPr>
        <w:t>系的不同供应商，不得参加同一</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合同项下的招投标活动。</w:t>
      </w:r>
    </w:p>
    <w:p w14:paraId="142B53E0">
      <w:pPr>
        <w:spacing w:before="114" w:line="278" w:lineRule="auto"/>
        <w:ind w:right="80" w:firstLine="372"/>
        <w:rPr>
          <w:rFonts w:ascii="宋体" w:hAnsi="宋体" w:eastAsia="宋体" w:cs="宋体"/>
          <w:sz w:val="24"/>
          <w:szCs w:val="24"/>
          <w:highlight w:val="none"/>
        </w:rPr>
      </w:pPr>
      <w:r>
        <w:rPr>
          <w:rFonts w:ascii="宋体" w:hAnsi="宋体" w:eastAsia="宋体" w:cs="宋体"/>
          <w:spacing w:val="-2"/>
          <w:sz w:val="24"/>
          <w:szCs w:val="24"/>
          <w:highlight w:val="none"/>
        </w:rPr>
        <w:t>（二）本项目的澄清文件（如果有）一律在行采家平台</w:t>
      </w:r>
      <w:r>
        <w:rPr>
          <w:rFonts w:ascii="宋体" w:hAnsi="宋体" w:eastAsia="宋体" w:cs="宋体"/>
          <w:spacing w:val="-3"/>
          <w:sz w:val="24"/>
          <w:szCs w:val="24"/>
          <w:highlight w:val="none"/>
        </w:rPr>
        <w:t>上发布，请各供应商注意下载或</w:t>
      </w:r>
      <w:r>
        <w:rPr>
          <w:rFonts w:ascii="宋体" w:hAnsi="宋体" w:eastAsia="宋体" w:cs="宋体"/>
          <w:sz w:val="24"/>
          <w:szCs w:val="24"/>
          <w:highlight w:val="none"/>
        </w:rPr>
        <w:t xml:space="preserve"> 到采购代理机构处领取；无论供应商下载或领取与否，均视同供应</w:t>
      </w:r>
      <w:r>
        <w:rPr>
          <w:rFonts w:ascii="宋体" w:hAnsi="宋体" w:eastAsia="宋体" w:cs="宋体"/>
          <w:spacing w:val="-1"/>
          <w:sz w:val="24"/>
          <w:szCs w:val="24"/>
          <w:highlight w:val="none"/>
        </w:rPr>
        <w:t>商已知晓本项目澄清文</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件（如果有）的内容。</w:t>
      </w:r>
    </w:p>
    <w:p w14:paraId="37D85BB6">
      <w:pPr>
        <w:spacing w:before="116" w:line="219" w:lineRule="auto"/>
        <w:ind w:left="372"/>
        <w:rPr>
          <w:rFonts w:ascii="宋体" w:hAnsi="宋体" w:eastAsia="宋体" w:cs="宋体"/>
          <w:sz w:val="24"/>
          <w:szCs w:val="24"/>
          <w:highlight w:val="none"/>
        </w:rPr>
      </w:pPr>
      <w:r>
        <w:rPr>
          <w:rFonts w:ascii="宋体" w:hAnsi="宋体" w:eastAsia="宋体" w:cs="宋体"/>
          <w:spacing w:val="-1"/>
          <w:sz w:val="24"/>
          <w:szCs w:val="24"/>
          <w:highlight w:val="none"/>
        </w:rPr>
        <w:t>（三）超过响应文件递交截止时间递交的响应文件，恕不接收。</w:t>
      </w:r>
    </w:p>
    <w:p w14:paraId="599D656B">
      <w:pPr>
        <w:spacing w:before="116" w:line="263" w:lineRule="auto"/>
        <w:ind w:left="40" w:right="80" w:firstLine="332"/>
        <w:rPr>
          <w:rFonts w:ascii="宋体" w:hAnsi="宋体" w:eastAsia="宋体" w:cs="宋体"/>
          <w:sz w:val="24"/>
          <w:szCs w:val="24"/>
          <w:highlight w:val="none"/>
        </w:rPr>
      </w:pPr>
      <w:r>
        <w:rPr>
          <w:rFonts w:ascii="宋体" w:hAnsi="宋体" w:eastAsia="宋体" w:cs="宋体"/>
          <w:spacing w:val="-2"/>
          <w:sz w:val="24"/>
          <w:szCs w:val="24"/>
          <w:highlight w:val="none"/>
        </w:rPr>
        <w:t>（四）投标费用：无论招标结果如何，供应商参与本项</w:t>
      </w:r>
      <w:r>
        <w:rPr>
          <w:rFonts w:ascii="宋体" w:hAnsi="宋体" w:eastAsia="宋体" w:cs="宋体"/>
          <w:spacing w:val="-3"/>
          <w:sz w:val="24"/>
          <w:szCs w:val="24"/>
          <w:highlight w:val="none"/>
        </w:rPr>
        <w:t>目投标的所有费用均应由供应商</w:t>
      </w:r>
      <w:r>
        <w:rPr>
          <w:rFonts w:ascii="宋体" w:hAnsi="宋体" w:eastAsia="宋体" w:cs="宋体"/>
          <w:sz w:val="24"/>
          <w:szCs w:val="24"/>
          <w:highlight w:val="none"/>
        </w:rPr>
        <w:t xml:space="preserve"> </w:t>
      </w:r>
      <w:r>
        <w:rPr>
          <w:rFonts w:ascii="宋体" w:hAnsi="宋体" w:eastAsia="宋体" w:cs="宋体"/>
          <w:spacing w:val="-10"/>
          <w:sz w:val="24"/>
          <w:szCs w:val="24"/>
          <w:highlight w:val="none"/>
        </w:rPr>
        <w:t>自行承担。</w:t>
      </w:r>
    </w:p>
    <w:p w14:paraId="72181F8A">
      <w:pPr>
        <w:spacing w:before="115" w:line="219" w:lineRule="auto"/>
        <w:ind w:left="372"/>
        <w:rPr>
          <w:rFonts w:ascii="宋体" w:hAnsi="宋体" w:eastAsia="宋体" w:cs="宋体"/>
          <w:sz w:val="24"/>
          <w:szCs w:val="24"/>
          <w:highlight w:val="none"/>
        </w:rPr>
      </w:pPr>
      <w:r>
        <w:rPr>
          <w:rFonts w:ascii="宋体" w:hAnsi="宋体" w:eastAsia="宋体" w:cs="宋体"/>
          <w:spacing w:val="-2"/>
          <w:sz w:val="24"/>
          <w:szCs w:val="24"/>
          <w:highlight w:val="none"/>
        </w:rPr>
        <w:t>（五）本项目不接受联合体参与投标。</w:t>
      </w:r>
    </w:p>
    <w:p w14:paraId="3C328FCE">
      <w:pPr>
        <w:spacing w:before="116" w:line="263" w:lineRule="auto"/>
        <w:ind w:left="3" w:right="80" w:firstLine="368"/>
        <w:rPr>
          <w:rFonts w:ascii="宋体" w:hAnsi="宋体" w:eastAsia="宋体" w:cs="宋体"/>
          <w:sz w:val="24"/>
          <w:szCs w:val="24"/>
          <w:highlight w:val="none"/>
        </w:rPr>
      </w:pPr>
      <w:r>
        <w:rPr>
          <w:rFonts w:ascii="宋体" w:hAnsi="宋体" w:eastAsia="宋体" w:cs="宋体"/>
          <w:spacing w:val="-2"/>
          <w:sz w:val="24"/>
          <w:szCs w:val="24"/>
          <w:highlight w:val="none"/>
        </w:rPr>
        <w:t>（六）本竞争性比选文件在行采家、重庆理工职业学院</w:t>
      </w:r>
      <w:r>
        <w:rPr>
          <w:rFonts w:ascii="宋体" w:hAnsi="宋体" w:eastAsia="宋体" w:cs="宋体"/>
          <w:spacing w:val="-3"/>
          <w:sz w:val="24"/>
          <w:szCs w:val="24"/>
          <w:highlight w:val="none"/>
        </w:rPr>
        <w:t>官网发布，采购人及采购代理机</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构对任何转载信息及由此产生的后果均不承担任何责任。</w:t>
      </w:r>
    </w:p>
    <w:p w14:paraId="40097FBC">
      <w:pPr>
        <w:spacing w:before="112" w:line="221" w:lineRule="auto"/>
        <w:ind w:left="480"/>
        <w:outlineLvl w:val="1"/>
        <w:rPr>
          <w:rFonts w:ascii="宋体" w:hAnsi="宋体" w:eastAsia="宋体" w:cs="宋体"/>
          <w:sz w:val="24"/>
          <w:szCs w:val="24"/>
          <w:highlight w:val="none"/>
        </w:rPr>
      </w:pPr>
      <w:bookmarkStart w:id="39" w:name="bookmark16"/>
      <w:bookmarkEnd w:id="39"/>
      <w:r>
        <w:rPr>
          <w:rFonts w:ascii="宋体" w:hAnsi="宋体" w:eastAsia="宋体" w:cs="宋体"/>
          <w:spacing w:val="-2"/>
          <w:sz w:val="24"/>
          <w:szCs w:val="24"/>
          <w:highlight w:val="none"/>
        </w:rPr>
        <w:t>七、联系方式</w:t>
      </w:r>
    </w:p>
    <w:p w14:paraId="72E92B85">
      <w:pPr>
        <w:spacing w:before="113" w:line="295" w:lineRule="auto"/>
        <w:ind w:left="481" w:right="5413" w:firstLine="10"/>
        <w:rPr>
          <w:rFonts w:ascii="宋体" w:hAnsi="宋体" w:eastAsia="宋体" w:cs="宋体"/>
          <w:sz w:val="24"/>
          <w:szCs w:val="24"/>
          <w:highlight w:val="none"/>
        </w:rPr>
      </w:pPr>
      <w:r>
        <w:rPr>
          <w:rFonts w:ascii="宋体" w:hAnsi="宋体" w:eastAsia="宋体" w:cs="宋体"/>
          <w:spacing w:val="-2"/>
          <w:sz w:val="24"/>
          <w:szCs w:val="24"/>
          <w:highlight w:val="none"/>
        </w:rPr>
        <w:t>（一）采购人：重庆理工职业学院</w:t>
      </w:r>
      <w:r>
        <w:rPr>
          <w:rFonts w:ascii="宋体" w:hAnsi="宋体" w:eastAsia="宋体" w:cs="宋体"/>
          <w:spacing w:val="8"/>
          <w:sz w:val="24"/>
          <w:szCs w:val="24"/>
          <w:highlight w:val="none"/>
        </w:rPr>
        <w:t xml:space="preserve"> </w:t>
      </w:r>
      <w:r>
        <w:rPr>
          <w:rFonts w:ascii="宋体" w:hAnsi="宋体" w:eastAsia="宋体" w:cs="宋体"/>
          <w:spacing w:val="-2"/>
          <w:sz w:val="24"/>
          <w:szCs w:val="24"/>
          <w:highlight w:val="none"/>
        </w:rPr>
        <w:t>联系人：</w:t>
      </w:r>
      <w:r>
        <w:rPr>
          <w:rFonts w:hint="eastAsia" w:ascii="宋体" w:hAnsi="宋体" w:eastAsia="宋体" w:cs="宋体"/>
          <w:spacing w:val="-2"/>
          <w:sz w:val="24"/>
          <w:szCs w:val="24"/>
          <w:highlight w:val="none"/>
          <w:lang w:val="en-US" w:eastAsia="zh-CN"/>
        </w:rPr>
        <w:t>吴</w:t>
      </w:r>
      <w:r>
        <w:rPr>
          <w:rFonts w:ascii="宋体" w:hAnsi="宋体" w:eastAsia="宋体" w:cs="宋体"/>
          <w:spacing w:val="-2"/>
          <w:sz w:val="24"/>
          <w:szCs w:val="24"/>
          <w:highlight w:val="none"/>
        </w:rPr>
        <w:t>老师</w:t>
      </w:r>
    </w:p>
    <w:p w14:paraId="01AD2E80">
      <w:pPr>
        <w:spacing w:before="33" w:line="221" w:lineRule="auto"/>
        <w:ind w:left="509"/>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电  话：</w:t>
      </w:r>
      <w:r>
        <w:rPr>
          <w:rFonts w:hint="eastAsia" w:ascii="宋体" w:hAnsi="宋体" w:eastAsia="宋体" w:cs="宋体"/>
          <w:spacing w:val="-3"/>
          <w:sz w:val="24"/>
          <w:szCs w:val="24"/>
          <w:highlight w:val="none"/>
          <w:lang w:val="en-US" w:eastAsia="zh-CN"/>
        </w:rPr>
        <w:t>13668080436</w:t>
      </w:r>
    </w:p>
    <w:p w14:paraId="37F7FBE2">
      <w:pPr>
        <w:spacing w:before="113"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地  址：重庆市巴南区界石镇东城大道 588</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号</w:t>
      </w:r>
    </w:p>
    <w:p w14:paraId="5871299D">
      <w:pPr>
        <w:spacing w:before="117" w:line="293" w:lineRule="auto"/>
        <w:ind w:left="481" w:right="3733" w:firstLine="10"/>
        <w:rPr>
          <w:rFonts w:ascii="宋体" w:hAnsi="宋体" w:eastAsia="宋体" w:cs="宋体"/>
          <w:sz w:val="24"/>
          <w:szCs w:val="24"/>
          <w:highlight w:val="none"/>
        </w:rPr>
      </w:pPr>
      <w:r>
        <w:rPr>
          <w:rFonts w:ascii="宋体" w:hAnsi="宋体" w:eastAsia="宋体" w:cs="宋体"/>
          <w:spacing w:val="-1"/>
          <w:sz w:val="24"/>
          <w:szCs w:val="24"/>
          <w:highlight w:val="none"/>
        </w:rPr>
        <w:t>（二）采购代理机构：中科高盛咨询集团有限公司</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联系人：刘先生</w:t>
      </w:r>
    </w:p>
    <w:p w14:paraId="2A0CFA0E">
      <w:pPr>
        <w:spacing w:before="37" w:line="221" w:lineRule="auto"/>
        <w:ind w:left="509"/>
        <w:rPr>
          <w:rFonts w:ascii="宋体" w:hAnsi="宋体" w:eastAsia="宋体" w:cs="宋体"/>
          <w:sz w:val="24"/>
          <w:szCs w:val="24"/>
          <w:highlight w:val="none"/>
        </w:rPr>
      </w:pPr>
      <w:r>
        <w:rPr>
          <w:rFonts w:ascii="宋体" w:hAnsi="宋体" w:eastAsia="宋体" w:cs="宋体"/>
          <w:spacing w:val="-3"/>
          <w:sz w:val="24"/>
          <w:szCs w:val="24"/>
          <w:highlight w:val="none"/>
        </w:rPr>
        <w:t>电  话：17382327155</w:t>
      </w:r>
    </w:p>
    <w:p w14:paraId="21DEFE4F">
      <w:pPr>
        <w:spacing w:before="113" w:line="219" w:lineRule="auto"/>
        <w:ind w:left="480"/>
        <w:rPr>
          <w:rFonts w:ascii="宋体" w:hAnsi="宋体" w:eastAsia="宋体" w:cs="宋体"/>
          <w:sz w:val="24"/>
          <w:szCs w:val="24"/>
          <w:highlight w:val="none"/>
        </w:rPr>
      </w:pPr>
      <w:r>
        <w:rPr>
          <w:rFonts w:ascii="宋体" w:hAnsi="宋体" w:eastAsia="宋体" w:cs="宋体"/>
          <w:spacing w:val="-3"/>
          <w:sz w:val="24"/>
          <w:szCs w:val="24"/>
          <w:highlight w:val="none"/>
        </w:rPr>
        <w:t>地  址：重庆市渝北区泰山大道东段</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62</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号动力国际</w:t>
      </w:r>
      <w:r>
        <w:rPr>
          <w:rFonts w:ascii="宋体" w:hAnsi="宋体" w:eastAsia="宋体" w:cs="宋体"/>
          <w:spacing w:val="-56"/>
          <w:sz w:val="24"/>
          <w:szCs w:val="24"/>
          <w:highlight w:val="none"/>
        </w:rPr>
        <w:t xml:space="preserve"> </w:t>
      </w:r>
      <w:r>
        <w:rPr>
          <w:rFonts w:ascii="宋体" w:hAnsi="宋体" w:eastAsia="宋体" w:cs="宋体"/>
          <w:spacing w:val="-3"/>
          <w:sz w:val="24"/>
          <w:szCs w:val="24"/>
          <w:highlight w:val="none"/>
        </w:rPr>
        <w:t>B</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幢</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7-12</w:t>
      </w:r>
    </w:p>
    <w:p w14:paraId="2473631D">
      <w:pPr>
        <w:spacing w:line="219" w:lineRule="auto"/>
        <w:rPr>
          <w:rFonts w:ascii="宋体" w:hAnsi="宋体" w:eastAsia="宋体" w:cs="宋体"/>
          <w:sz w:val="24"/>
          <w:szCs w:val="24"/>
          <w:highlight w:val="none"/>
        </w:rPr>
        <w:sectPr>
          <w:footerReference r:id="rId7" w:type="default"/>
          <w:pgSz w:w="11907" w:h="16840"/>
          <w:pgMar w:top="933" w:right="1110" w:bottom="1200" w:left="1311" w:header="0" w:footer="996" w:gutter="0"/>
          <w:cols w:space="720" w:num="1"/>
        </w:sectPr>
      </w:pPr>
    </w:p>
    <w:p w14:paraId="0DBAA06A">
      <w:pPr>
        <w:spacing w:before="42" w:line="216" w:lineRule="auto"/>
        <w:ind w:left="2908"/>
        <w:outlineLvl w:val="0"/>
        <w:rPr>
          <w:rFonts w:ascii="微软雅黑" w:hAnsi="微软雅黑" w:eastAsia="微软雅黑" w:cs="微软雅黑"/>
          <w:sz w:val="35"/>
          <w:szCs w:val="35"/>
          <w:highlight w:val="none"/>
        </w:rPr>
      </w:pPr>
      <w:r>
        <w:rPr>
          <w:rFonts w:ascii="微软雅黑" w:hAnsi="微软雅黑" w:eastAsia="微软雅黑" w:cs="微软雅黑"/>
          <w:spacing w:val="8"/>
          <w:sz w:val="35"/>
          <w:szCs w:val="35"/>
          <w:highlight w:val="none"/>
        </w:rPr>
        <w:t>第二篇</w:t>
      </w:r>
      <w:r>
        <w:rPr>
          <w:rFonts w:ascii="微软雅黑" w:hAnsi="微软雅黑" w:eastAsia="微软雅黑" w:cs="微软雅黑"/>
          <w:spacing w:val="20"/>
          <w:sz w:val="35"/>
          <w:szCs w:val="35"/>
          <w:highlight w:val="none"/>
        </w:rPr>
        <w:t xml:space="preserve">   </w:t>
      </w:r>
      <w:r>
        <w:rPr>
          <w:rFonts w:ascii="微软雅黑" w:hAnsi="微软雅黑" w:eastAsia="微软雅黑" w:cs="微软雅黑"/>
          <w:spacing w:val="8"/>
          <w:sz w:val="35"/>
          <w:szCs w:val="35"/>
          <w:highlight w:val="none"/>
        </w:rPr>
        <w:t>项目服务需求</w:t>
      </w:r>
    </w:p>
    <w:p w14:paraId="437488CE">
      <w:pPr>
        <w:pStyle w:val="2"/>
        <w:spacing w:line="271" w:lineRule="auto"/>
        <w:rPr>
          <w:highlight w:val="none"/>
        </w:rPr>
      </w:pPr>
    </w:p>
    <w:p w14:paraId="1F5878B9">
      <w:pPr>
        <w:spacing w:before="78" w:line="232" w:lineRule="auto"/>
        <w:ind w:left="2673" w:right="451" w:hanging="2257"/>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宋体" w:hAnsi="宋体" w:eastAsia="宋体" w:cs="宋体"/>
          <w:spacing w:val="-83"/>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”标注的技术需求为符合性审查中的实质性要求，若不满足按无效响应处理。</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按照所投分包响应相应分包要求即可。</w:t>
      </w:r>
    </w:p>
    <w:p w14:paraId="7D99AB5A">
      <w:pPr>
        <w:spacing w:before="53" w:line="193" w:lineRule="auto"/>
        <w:rPr>
          <w:rFonts w:ascii="宋体" w:hAnsi="宋体" w:eastAsia="宋体" w:cs="宋体"/>
          <w:sz w:val="31"/>
          <w:szCs w:val="31"/>
          <w:highlight w:val="none"/>
        </w:rPr>
      </w:pPr>
      <w:bookmarkStart w:id="40" w:name="bookmark18"/>
      <w:bookmarkEnd w:id="40"/>
      <w:r>
        <w:rPr>
          <w:rFonts w:ascii="微软雅黑" w:hAnsi="微软雅黑" w:eastAsia="微软雅黑" w:cs="微软雅黑"/>
          <w:b/>
          <w:bCs/>
          <w:spacing w:val="5"/>
          <w:sz w:val="31"/>
          <w:szCs w:val="31"/>
          <w:highlight w:val="none"/>
        </w:rPr>
        <w:t>包二</w:t>
      </w:r>
      <w:r>
        <w:rPr>
          <w:rFonts w:ascii="宋体" w:hAnsi="宋体" w:eastAsia="宋体" w:cs="宋体"/>
          <w:spacing w:val="5"/>
          <w:sz w:val="31"/>
          <w:szCs w:val="31"/>
          <w:highlight w:val="none"/>
        </w:rPr>
        <w:t>：</w:t>
      </w:r>
    </w:p>
    <w:p w14:paraId="2CEECD34">
      <w:pPr>
        <w:spacing w:before="31" w:line="220" w:lineRule="auto"/>
        <w:ind w:left="26" w:firstLine="454" w:firstLineChars="200"/>
        <w:rPr>
          <w:rFonts w:ascii="宋体" w:hAnsi="宋体" w:eastAsia="宋体" w:cs="宋体"/>
          <w:sz w:val="24"/>
          <w:szCs w:val="24"/>
          <w:highlight w:val="none"/>
        </w:rPr>
      </w:pPr>
      <w:r>
        <w:rPr>
          <w:rFonts w:ascii="宋体" w:hAnsi="宋体" w:eastAsia="宋体" w:cs="宋体"/>
          <w:b/>
          <w:bCs/>
          <w:spacing w:val="-7"/>
          <w:sz w:val="24"/>
          <w:szCs w:val="24"/>
          <w:highlight w:val="none"/>
        </w:rPr>
        <w:t>※一、项目目标</w:t>
      </w:r>
    </w:p>
    <w:p w14:paraId="71686435">
      <w:pPr>
        <w:spacing w:before="180" w:line="289" w:lineRule="auto"/>
        <w:ind w:left="5" w:right="61" w:firstLine="491"/>
        <w:rPr>
          <w:rFonts w:ascii="宋体" w:hAnsi="宋体" w:eastAsia="宋体" w:cs="宋体"/>
          <w:sz w:val="24"/>
          <w:szCs w:val="24"/>
          <w:highlight w:val="none"/>
        </w:rPr>
      </w:pPr>
      <w:r>
        <w:rPr>
          <w:rFonts w:ascii="宋体" w:hAnsi="宋体" w:eastAsia="宋体" w:cs="宋体"/>
          <w:spacing w:val="-1"/>
          <w:sz w:val="24"/>
          <w:szCs w:val="24"/>
          <w:highlight w:val="none"/>
        </w:rPr>
        <w:t>（一）维修维护合格率</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100%，工程质量须达</w:t>
      </w:r>
      <w:r>
        <w:rPr>
          <w:rFonts w:ascii="宋体" w:hAnsi="宋体" w:eastAsia="宋体" w:cs="宋体"/>
          <w:spacing w:val="-2"/>
          <w:sz w:val="24"/>
          <w:szCs w:val="24"/>
          <w:highlight w:val="none"/>
        </w:rPr>
        <w:t>到质量验收标准，施工过程中，实行现场</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签证管理，采购人签证必须是</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人及以上。</w:t>
      </w:r>
    </w:p>
    <w:p w14:paraId="689C2C5B">
      <w:pPr>
        <w:spacing w:before="181" w:line="219" w:lineRule="auto"/>
        <w:ind w:left="497"/>
        <w:rPr>
          <w:rFonts w:ascii="宋体" w:hAnsi="宋体" w:eastAsia="宋体" w:cs="宋体"/>
          <w:sz w:val="24"/>
          <w:szCs w:val="24"/>
          <w:highlight w:val="none"/>
        </w:rPr>
      </w:pPr>
      <w:r>
        <w:rPr>
          <w:rFonts w:ascii="宋体" w:hAnsi="宋体" w:eastAsia="宋体" w:cs="宋体"/>
          <w:spacing w:val="-2"/>
          <w:sz w:val="24"/>
          <w:szCs w:val="24"/>
          <w:highlight w:val="none"/>
        </w:rPr>
        <w:t>（二）维修维护标准及要求</w:t>
      </w:r>
    </w:p>
    <w:p w14:paraId="0F73F687">
      <w:pPr>
        <w:spacing w:before="182" w:line="345" w:lineRule="auto"/>
        <w:ind w:left="12" w:right="114" w:firstLine="490"/>
        <w:rPr>
          <w:rFonts w:ascii="宋体" w:hAnsi="宋体" w:eastAsia="宋体" w:cs="宋体"/>
          <w:sz w:val="24"/>
          <w:szCs w:val="24"/>
          <w:highlight w:val="none"/>
        </w:rPr>
      </w:pPr>
      <w:r>
        <w:rPr>
          <w:rFonts w:ascii="宋体" w:hAnsi="宋体" w:eastAsia="宋体" w:cs="宋体"/>
          <w:spacing w:val="-3"/>
          <w:sz w:val="24"/>
          <w:szCs w:val="24"/>
          <w:highlight w:val="none"/>
        </w:rPr>
        <w:t>1.接到采购人通知后，要求</w:t>
      </w:r>
      <w:r>
        <w:rPr>
          <w:rFonts w:ascii="宋体" w:hAnsi="宋体" w:eastAsia="宋体" w:cs="宋体"/>
          <w:spacing w:val="-30"/>
          <w:sz w:val="24"/>
          <w:szCs w:val="24"/>
          <w:highlight w:val="none"/>
        </w:rPr>
        <w:t xml:space="preserve"> </w:t>
      </w:r>
      <w:r>
        <w:rPr>
          <w:rFonts w:ascii="宋体" w:hAnsi="宋体" w:eastAsia="宋体" w:cs="宋体"/>
          <w:spacing w:val="-3"/>
          <w:sz w:val="24"/>
          <w:szCs w:val="24"/>
          <w:highlight w:val="none"/>
        </w:rPr>
        <w:t>24</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小时内（抢修</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12</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小时内）赶到现场进行方案确定，按</w:t>
      </w:r>
      <w:r>
        <w:rPr>
          <w:rFonts w:ascii="宋体" w:hAnsi="宋体" w:eastAsia="宋体" w:cs="宋体"/>
          <w:sz w:val="24"/>
          <w:szCs w:val="24"/>
          <w:highlight w:val="none"/>
        </w:rPr>
        <w:t xml:space="preserve"> 照采购人提供技术要求进行验收，维修保质期</w:t>
      </w:r>
      <w:r>
        <w:rPr>
          <w:rFonts w:ascii="宋体" w:hAnsi="宋体" w:eastAsia="宋体" w:cs="宋体"/>
          <w:spacing w:val="-1"/>
          <w:sz w:val="24"/>
          <w:szCs w:val="24"/>
          <w:highlight w:val="none"/>
        </w:rPr>
        <w:t>按《建筑工程施工验收规范标准》执行。</w:t>
      </w:r>
    </w:p>
    <w:p w14:paraId="5CDBF2F7">
      <w:pPr>
        <w:spacing w:before="36" w:line="345" w:lineRule="auto"/>
        <w:ind w:left="12" w:firstLine="475"/>
        <w:rPr>
          <w:rFonts w:ascii="宋体" w:hAnsi="宋体" w:eastAsia="宋体" w:cs="宋体"/>
          <w:sz w:val="24"/>
          <w:szCs w:val="24"/>
          <w:highlight w:val="none"/>
        </w:rPr>
      </w:pPr>
      <w:r>
        <w:rPr>
          <w:rFonts w:ascii="宋体" w:hAnsi="宋体" w:eastAsia="宋体" w:cs="宋体"/>
          <w:spacing w:val="-4"/>
          <w:sz w:val="24"/>
          <w:szCs w:val="24"/>
          <w:highlight w:val="none"/>
        </w:rPr>
        <w:t>2.凡是需抢修的任务，任何一家中标供应商接到任务通知后必须按采购人的安排执行，</w:t>
      </w:r>
      <w:r>
        <w:rPr>
          <w:rFonts w:ascii="宋体" w:hAnsi="宋体" w:eastAsia="宋体" w:cs="宋体"/>
          <w:spacing w:val="17"/>
          <w:sz w:val="24"/>
          <w:szCs w:val="24"/>
          <w:highlight w:val="none"/>
        </w:rPr>
        <w:t xml:space="preserve"> </w:t>
      </w:r>
      <w:r>
        <w:rPr>
          <w:rFonts w:ascii="宋体" w:hAnsi="宋体" w:eastAsia="宋体" w:cs="宋体"/>
          <w:spacing w:val="-2"/>
          <w:sz w:val="24"/>
          <w:szCs w:val="24"/>
          <w:highlight w:val="none"/>
        </w:rPr>
        <w:t>否则采购人有权取消其入围资格。</w:t>
      </w:r>
    </w:p>
    <w:p w14:paraId="49D73952">
      <w:pPr>
        <w:spacing w:before="38" w:line="347" w:lineRule="auto"/>
        <w:ind w:left="4" w:right="114" w:firstLine="485"/>
        <w:rPr>
          <w:rFonts w:ascii="宋体" w:hAnsi="宋体" w:eastAsia="宋体" w:cs="宋体"/>
          <w:sz w:val="24"/>
          <w:szCs w:val="24"/>
          <w:highlight w:val="none"/>
        </w:rPr>
      </w:pPr>
      <w:r>
        <w:rPr>
          <w:rFonts w:ascii="宋体" w:hAnsi="宋体" w:eastAsia="宋体" w:cs="宋体"/>
          <w:sz w:val="24"/>
          <w:szCs w:val="24"/>
          <w:highlight w:val="none"/>
        </w:rPr>
        <w:t>3.中标供应商在施工过程中需做好安全文明相关</w:t>
      </w:r>
      <w:r>
        <w:rPr>
          <w:rFonts w:ascii="宋体" w:hAnsi="宋体" w:eastAsia="宋体" w:cs="宋体"/>
          <w:spacing w:val="-1"/>
          <w:sz w:val="24"/>
          <w:szCs w:val="24"/>
          <w:highlight w:val="none"/>
        </w:rPr>
        <w:t>措施，确保不影响学校的正常秩序以</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及师生的休息及日常生活。</w:t>
      </w:r>
    </w:p>
    <w:p w14:paraId="2C1FC8AC">
      <w:pPr>
        <w:spacing w:before="32"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4.维修维护人员的要求</w:t>
      </w:r>
    </w:p>
    <w:p w14:paraId="43B7E488">
      <w:pPr>
        <w:spacing w:before="181" w:line="347" w:lineRule="auto"/>
        <w:ind w:left="11" w:right="114" w:firstLine="476"/>
        <w:rPr>
          <w:rFonts w:ascii="宋体" w:hAnsi="宋体" w:eastAsia="宋体" w:cs="宋体"/>
          <w:sz w:val="24"/>
          <w:szCs w:val="24"/>
          <w:highlight w:val="none"/>
        </w:rPr>
      </w:pPr>
      <w:r>
        <w:rPr>
          <w:rFonts w:ascii="宋体" w:hAnsi="宋体" w:eastAsia="宋体" w:cs="宋体"/>
          <w:sz w:val="24"/>
          <w:szCs w:val="24"/>
          <w:highlight w:val="none"/>
        </w:rPr>
        <w:t>符合国家相关行业操作维修资质要求，遵守国家法律法</w:t>
      </w:r>
      <w:r>
        <w:rPr>
          <w:rFonts w:ascii="宋体" w:hAnsi="宋体" w:eastAsia="宋体" w:cs="宋体"/>
          <w:spacing w:val="-1"/>
          <w:sz w:val="24"/>
          <w:szCs w:val="24"/>
          <w:highlight w:val="none"/>
        </w:rPr>
        <w:t>规、遵守采购人的相关管理规</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定。</w:t>
      </w:r>
    </w:p>
    <w:p w14:paraId="755895C3">
      <w:pPr>
        <w:spacing w:before="32" w:line="289" w:lineRule="auto"/>
        <w:ind w:left="10" w:right="61" w:firstLine="480"/>
        <w:rPr>
          <w:rFonts w:ascii="宋体" w:hAnsi="宋体" w:eastAsia="宋体" w:cs="宋体"/>
          <w:sz w:val="24"/>
          <w:szCs w:val="24"/>
          <w:highlight w:val="none"/>
        </w:rPr>
      </w:pPr>
      <w:r>
        <w:rPr>
          <w:rFonts w:ascii="宋体" w:hAnsi="宋体" w:eastAsia="宋体" w:cs="宋体"/>
          <w:spacing w:val="-1"/>
          <w:sz w:val="24"/>
          <w:szCs w:val="24"/>
          <w:highlight w:val="none"/>
        </w:rPr>
        <w:t>5. 包二成交供应商选定</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家，入围供应商</w:t>
      </w:r>
      <w:r>
        <w:rPr>
          <w:rFonts w:ascii="宋体" w:hAnsi="宋体" w:eastAsia="宋体" w:cs="宋体"/>
          <w:spacing w:val="-2"/>
          <w:sz w:val="24"/>
          <w:szCs w:val="24"/>
          <w:highlight w:val="none"/>
        </w:rPr>
        <w:t>对采购人零星维修提供服务，2</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家入围供应</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商根据采购人指令轮流提供服务。</w:t>
      </w:r>
    </w:p>
    <w:p w14:paraId="16044947">
      <w:pPr>
        <w:spacing w:before="186" w:line="312" w:lineRule="auto"/>
        <w:ind w:left="5" w:right="61" w:firstLine="481"/>
        <w:rPr>
          <w:rFonts w:ascii="宋体" w:hAnsi="宋体" w:eastAsia="宋体" w:cs="宋体"/>
          <w:sz w:val="24"/>
          <w:szCs w:val="24"/>
          <w:highlight w:val="none"/>
        </w:rPr>
      </w:pPr>
      <w:r>
        <w:rPr>
          <w:rFonts w:ascii="宋体" w:hAnsi="宋体" w:eastAsia="宋体" w:cs="宋体"/>
          <w:spacing w:val="-2"/>
          <w:sz w:val="24"/>
          <w:szCs w:val="24"/>
          <w:highlight w:val="none"/>
        </w:rPr>
        <w:t>6. 签订合同前需向采购人缴纳履约保证金</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600</w:t>
      </w:r>
      <w:r>
        <w:rPr>
          <w:rFonts w:ascii="宋体" w:hAnsi="宋体" w:eastAsia="宋体" w:cs="宋体"/>
          <w:spacing w:val="-3"/>
          <w:sz w:val="24"/>
          <w:szCs w:val="24"/>
          <w:highlight w:val="none"/>
        </w:rPr>
        <w:t>0.00</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元合同期满后无息原路退还。如果</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轮到入围单位实施时，入围单位若无正当理由拒绝实施，单次扣除履约保证金</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50%，两次</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扣完，并退出入围的同时自动解除合同。</w:t>
      </w:r>
    </w:p>
    <w:p w14:paraId="646AEFE9">
      <w:pPr>
        <w:spacing w:before="293" w:line="219" w:lineRule="auto"/>
        <w:ind w:left="9" w:firstLine="468" w:firstLineChars="200"/>
        <w:outlineLvl w:val="2"/>
        <w:rPr>
          <w:rFonts w:ascii="宋体" w:hAnsi="宋体" w:eastAsia="宋体" w:cs="宋体"/>
          <w:sz w:val="24"/>
          <w:szCs w:val="24"/>
          <w:highlight w:val="none"/>
        </w:rPr>
      </w:pPr>
      <w:r>
        <w:rPr>
          <w:rFonts w:ascii="宋体" w:hAnsi="宋体" w:eastAsia="宋体" w:cs="宋体"/>
          <w:spacing w:val="-3"/>
          <w:sz w:val="24"/>
          <w:szCs w:val="24"/>
          <w:highlight w:val="none"/>
        </w:rPr>
        <w:t>二、现场踏勘</w:t>
      </w:r>
    </w:p>
    <w:p w14:paraId="61FD8318">
      <w:pPr>
        <w:spacing w:before="155" w:line="317" w:lineRule="auto"/>
        <w:ind w:left="5" w:right="114" w:firstLine="480"/>
        <w:jc w:val="both"/>
        <w:rPr>
          <w:rFonts w:ascii="宋体" w:hAnsi="宋体" w:eastAsia="宋体" w:cs="宋体"/>
          <w:sz w:val="24"/>
          <w:szCs w:val="24"/>
          <w:highlight w:val="none"/>
        </w:rPr>
      </w:pPr>
      <w:r>
        <w:rPr>
          <w:rFonts w:ascii="宋体" w:hAnsi="宋体" w:eastAsia="宋体" w:cs="宋体"/>
          <w:sz w:val="24"/>
          <w:szCs w:val="24"/>
          <w:highlight w:val="none"/>
        </w:rPr>
        <w:t>供应商在开标前可自行联系现场踏勘事宜。无论供应商是否</w:t>
      </w:r>
      <w:r>
        <w:rPr>
          <w:rFonts w:ascii="宋体" w:hAnsi="宋体" w:eastAsia="宋体" w:cs="宋体"/>
          <w:spacing w:val="-1"/>
          <w:sz w:val="24"/>
          <w:szCs w:val="24"/>
          <w:highlight w:val="none"/>
        </w:rPr>
        <w:t>考察过现场，均被认为对</w:t>
      </w:r>
      <w:r>
        <w:rPr>
          <w:rFonts w:ascii="宋体" w:hAnsi="宋体" w:eastAsia="宋体" w:cs="宋体"/>
          <w:sz w:val="24"/>
          <w:szCs w:val="24"/>
          <w:highlight w:val="none"/>
        </w:rPr>
        <w:t xml:space="preserve"> 本项目的风险和义务十分了解，并在其响应文件中充分考虑了现</w:t>
      </w:r>
      <w:r>
        <w:rPr>
          <w:rFonts w:ascii="宋体" w:hAnsi="宋体" w:eastAsia="宋体" w:cs="宋体"/>
          <w:spacing w:val="-1"/>
          <w:sz w:val="24"/>
          <w:szCs w:val="24"/>
          <w:highlight w:val="none"/>
        </w:rPr>
        <w:t>场和环境条件。供应商并</w:t>
      </w:r>
      <w:r>
        <w:rPr>
          <w:rFonts w:ascii="宋体" w:hAnsi="宋体" w:eastAsia="宋体" w:cs="宋体"/>
          <w:sz w:val="24"/>
          <w:szCs w:val="24"/>
          <w:highlight w:val="none"/>
        </w:rPr>
        <w:t xml:space="preserve"> 应对因踏勘现场而造成的事故、人身伤害、财产损失、损害以及</w:t>
      </w:r>
      <w:r>
        <w:rPr>
          <w:rFonts w:ascii="宋体" w:hAnsi="宋体" w:eastAsia="宋体" w:cs="宋体"/>
          <w:spacing w:val="-1"/>
          <w:sz w:val="24"/>
          <w:szCs w:val="24"/>
          <w:highlight w:val="none"/>
        </w:rPr>
        <w:t>任何其它损失、损害和引</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起的费用和开支承担责任。</w:t>
      </w:r>
    </w:p>
    <w:p w14:paraId="44065739">
      <w:pPr>
        <w:spacing w:line="219" w:lineRule="auto"/>
        <w:ind w:left="486"/>
        <w:rPr>
          <w:rFonts w:ascii="宋体" w:hAnsi="宋体" w:eastAsia="宋体" w:cs="宋体"/>
          <w:sz w:val="24"/>
          <w:szCs w:val="24"/>
          <w:highlight w:val="none"/>
        </w:rPr>
      </w:pPr>
      <w:r>
        <w:rPr>
          <w:rFonts w:ascii="宋体" w:hAnsi="宋体" w:eastAsia="宋体" w:cs="宋体"/>
          <w:spacing w:val="-3"/>
          <w:sz w:val="24"/>
          <w:szCs w:val="24"/>
          <w:highlight w:val="none"/>
        </w:rPr>
        <w:t>踏勘现场联系人：</w:t>
      </w:r>
      <w:r>
        <w:rPr>
          <w:rFonts w:ascii="宋体" w:hAnsi="宋体" w:eastAsia="宋体" w:cs="宋体"/>
          <w:color w:val="1F2329"/>
          <w:spacing w:val="-3"/>
          <w:sz w:val="24"/>
          <w:szCs w:val="24"/>
          <w:highlight w:val="none"/>
        </w:rPr>
        <w:t>张洪林</w:t>
      </w:r>
      <w:r>
        <w:rPr>
          <w:rFonts w:ascii="宋体" w:hAnsi="宋体" w:eastAsia="宋体" w:cs="宋体"/>
          <w:color w:val="1F2329"/>
          <w:spacing w:val="-25"/>
          <w:sz w:val="24"/>
          <w:szCs w:val="24"/>
          <w:highlight w:val="none"/>
        </w:rPr>
        <w:t xml:space="preserve"> </w:t>
      </w:r>
      <w:r>
        <w:rPr>
          <w:rFonts w:ascii="宋体" w:hAnsi="宋体" w:eastAsia="宋体" w:cs="宋体"/>
          <w:color w:val="1F2329"/>
          <w:spacing w:val="-3"/>
          <w:sz w:val="24"/>
          <w:szCs w:val="24"/>
          <w:highlight w:val="none"/>
        </w:rPr>
        <w:t>18983998723</w:t>
      </w:r>
    </w:p>
    <w:p w14:paraId="78E4FA72">
      <w:pPr>
        <w:spacing w:before="27" w:line="221" w:lineRule="auto"/>
        <w:ind w:left="26" w:firstLine="454" w:firstLineChars="200"/>
        <w:rPr>
          <w:rFonts w:ascii="宋体" w:hAnsi="宋体" w:eastAsia="宋体" w:cs="宋体"/>
          <w:sz w:val="24"/>
          <w:szCs w:val="24"/>
          <w:highlight w:val="none"/>
        </w:rPr>
      </w:pPr>
      <w:r>
        <w:rPr>
          <w:rFonts w:ascii="宋体" w:hAnsi="宋体" w:eastAsia="宋体" w:cs="宋体"/>
          <w:b/>
          <w:bCs/>
          <w:spacing w:val="-7"/>
          <w:sz w:val="24"/>
          <w:szCs w:val="24"/>
          <w:highlight w:val="none"/>
        </w:rPr>
        <w:t>※三、安全要求</w:t>
      </w:r>
    </w:p>
    <w:p w14:paraId="125CED6C">
      <w:pPr>
        <w:spacing w:before="135" w:line="333" w:lineRule="auto"/>
        <w:ind w:left="5" w:firstLine="480"/>
        <w:jc w:val="both"/>
        <w:rPr>
          <w:rFonts w:ascii="宋体" w:hAnsi="宋体" w:eastAsia="宋体" w:cs="宋体"/>
          <w:sz w:val="24"/>
          <w:szCs w:val="24"/>
          <w:highlight w:val="none"/>
        </w:rPr>
      </w:pPr>
      <w:r>
        <w:rPr>
          <w:rFonts w:ascii="宋体" w:hAnsi="宋体" w:eastAsia="宋体" w:cs="宋体"/>
          <w:sz w:val="24"/>
          <w:szCs w:val="24"/>
          <w:highlight w:val="none"/>
        </w:rPr>
        <w:t>供应商应遵守安全生产的有关管理规定，严格按照安全标准</w:t>
      </w:r>
      <w:r>
        <w:rPr>
          <w:rFonts w:ascii="宋体" w:hAnsi="宋体" w:eastAsia="宋体" w:cs="宋体"/>
          <w:spacing w:val="-1"/>
          <w:sz w:val="24"/>
          <w:szCs w:val="24"/>
          <w:highlight w:val="none"/>
        </w:rPr>
        <w:t>组织实施，采取必要的安</w:t>
      </w:r>
      <w:r>
        <w:rPr>
          <w:rFonts w:ascii="宋体" w:hAnsi="宋体" w:eastAsia="宋体" w:cs="宋体"/>
          <w:sz w:val="24"/>
          <w:szCs w:val="24"/>
          <w:highlight w:val="none"/>
        </w:rPr>
        <w:t xml:space="preserve">  全防护措施，消除隐患。在施工过程中由于供应商管理或安全措</w:t>
      </w:r>
      <w:r>
        <w:rPr>
          <w:rFonts w:ascii="宋体" w:hAnsi="宋体" w:eastAsia="宋体" w:cs="宋体"/>
          <w:spacing w:val="-1"/>
          <w:sz w:val="24"/>
          <w:szCs w:val="24"/>
          <w:highlight w:val="none"/>
        </w:rPr>
        <w:t>施不力造成周边环境破坏</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或事故责任和因此发生的费用，由供应商承担。供应</w:t>
      </w:r>
      <w:r>
        <w:rPr>
          <w:rFonts w:ascii="宋体" w:hAnsi="宋体" w:eastAsia="宋体" w:cs="宋体"/>
          <w:spacing w:val="-4"/>
          <w:sz w:val="24"/>
          <w:szCs w:val="24"/>
          <w:highlight w:val="none"/>
        </w:rPr>
        <w:t>商负责进入现场实施人员及财物安全，</w:t>
      </w:r>
      <w:r>
        <w:rPr>
          <w:rFonts w:ascii="宋体" w:hAnsi="宋体" w:eastAsia="宋体" w:cs="宋体"/>
          <w:sz w:val="24"/>
          <w:szCs w:val="24"/>
          <w:highlight w:val="none"/>
        </w:rPr>
        <w:t xml:space="preserve"> 发生任何伤亡事故与采购人、建设单位无关，供应商自行解决并</w:t>
      </w:r>
      <w:r>
        <w:rPr>
          <w:rFonts w:ascii="宋体" w:hAnsi="宋体" w:eastAsia="宋体" w:cs="宋体"/>
          <w:spacing w:val="-1"/>
          <w:sz w:val="24"/>
          <w:szCs w:val="24"/>
          <w:highlight w:val="none"/>
        </w:rPr>
        <w:t>承担相应的法律责任和财</w:t>
      </w:r>
      <w:r>
        <w:rPr>
          <w:rFonts w:ascii="宋体" w:hAnsi="宋体" w:eastAsia="宋体" w:cs="宋体"/>
          <w:sz w:val="24"/>
          <w:szCs w:val="24"/>
          <w:highlight w:val="none"/>
        </w:rPr>
        <w:t xml:space="preserve">  产损失。如因施工导致第三人人身、财产损失</w:t>
      </w:r>
      <w:r>
        <w:rPr>
          <w:rFonts w:ascii="宋体" w:hAnsi="宋体" w:eastAsia="宋体" w:cs="宋体"/>
          <w:spacing w:val="-1"/>
          <w:sz w:val="24"/>
          <w:szCs w:val="24"/>
          <w:highlight w:val="none"/>
        </w:rPr>
        <w:t>由供应商承担赔偿责任。</w:t>
      </w:r>
    </w:p>
    <w:p w14:paraId="3137A1B6">
      <w:pPr>
        <w:spacing w:line="333" w:lineRule="auto"/>
        <w:rPr>
          <w:rFonts w:ascii="宋体" w:hAnsi="宋体" w:eastAsia="宋体" w:cs="宋体"/>
          <w:sz w:val="24"/>
          <w:szCs w:val="24"/>
          <w:highlight w:val="none"/>
        </w:rPr>
      </w:pPr>
    </w:p>
    <w:p w14:paraId="73D6578E">
      <w:pPr>
        <w:spacing w:before="15" w:line="218" w:lineRule="auto"/>
        <w:ind w:left="652"/>
        <w:rPr>
          <w:rFonts w:ascii="宋体" w:hAnsi="宋体" w:eastAsia="宋体" w:cs="宋体"/>
          <w:sz w:val="24"/>
          <w:szCs w:val="24"/>
          <w:highlight w:val="none"/>
        </w:rPr>
      </w:pPr>
      <w:r>
        <w:rPr>
          <w:rFonts w:ascii="宋体" w:hAnsi="宋体" w:eastAsia="宋体" w:cs="宋体"/>
          <w:spacing w:val="-2"/>
          <w:sz w:val="24"/>
          <w:szCs w:val="24"/>
          <w:highlight w:val="none"/>
        </w:rPr>
        <w:t>四、包二维修类清单和限价详见以下表格</w:t>
      </w:r>
    </w:p>
    <w:p w14:paraId="11020D5F">
      <w:pPr>
        <w:spacing w:before="113"/>
        <w:rPr>
          <w:highlight w:val="none"/>
        </w:rPr>
      </w:pPr>
    </w:p>
    <w:tbl>
      <w:tblPr>
        <w:tblStyle w:val="6"/>
        <w:tblW w:w="9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
        <w:gridCol w:w="682"/>
        <w:gridCol w:w="1649"/>
        <w:gridCol w:w="1622"/>
        <w:gridCol w:w="1785"/>
        <w:gridCol w:w="1471"/>
        <w:gridCol w:w="1268"/>
        <w:gridCol w:w="600"/>
      </w:tblGrid>
      <w:tr w14:paraId="719D4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546" w:type="dxa"/>
            <w:gridSpan w:val="8"/>
            <w:vAlign w:val="top"/>
          </w:tcPr>
          <w:p w14:paraId="6B542609">
            <w:pPr>
              <w:spacing w:before="91" w:line="242" w:lineRule="auto"/>
              <w:ind w:left="2472"/>
              <w:rPr>
                <w:rFonts w:ascii="黑体" w:hAnsi="黑体" w:eastAsia="黑体" w:cs="黑体"/>
                <w:sz w:val="22"/>
                <w:szCs w:val="22"/>
                <w:highlight w:val="none"/>
              </w:rPr>
            </w:pPr>
            <w:r>
              <w:rPr>
                <w:rFonts w:ascii="黑体" w:hAnsi="黑体" w:eastAsia="黑体" w:cs="黑体"/>
                <w:spacing w:val="-1"/>
                <w:sz w:val="22"/>
                <w:szCs w:val="22"/>
                <w:highlight w:val="none"/>
              </w:rPr>
              <w:t>重庆理工职业学院门窗玻璃类维护维修计价清单</w:t>
            </w:r>
          </w:p>
        </w:tc>
      </w:tr>
      <w:tr w14:paraId="225C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9" w:type="dxa"/>
            <w:vMerge w:val="restart"/>
            <w:tcBorders>
              <w:bottom w:val="nil"/>
            </w:tcBorders>
            <w:textDirection w:val="tbRlV"/>
            <w:vAlign w:val="top"/>
          </w:tcPr>
          <w:p w14:paraId="781D4320">
            <w:pPr>
              <w:pStyle w:val="7"/>
              <w:spacing w:before="135" w:line="211" w:lineRule="auto"/>
              <w:ind w:left="174"/>
              <w:rPr>
                <w:sz w:val="22"/>
                <w:szCs w:val="22"/>
                <w:highlight w:val="none"/>
              </w:rPr>
            </w:pPr>
            <w:r>
              <w:rPr>
                <w:b/>
                <w:bCs/>
                <w:spacing w:val="30"/>
                <w:sz w:val="22"/>
                <w:szCs w:val="22"/>
                <w:highlight w:val="none"/>
              </w:rPr>
              <w:t>序号</w:t>
            </w:r>
          </w:p>
        </w:tc>
        <w:tc>
          <w:tcPr>
            <w:tcW w:w="682" w:type="dxa"/>
            <w:vMerge w:val="restart"/>
            <w:tcBorders>
              <w:bottom w:val="nil"/>
            </w:tcBorders>
            <w:vAlign w:val="top"/>
          </w:tcPr>
          <w:p w14:paraId="133C0425">
            <w:pPr>
              <w:pStyle w:val="7"/>
              <w:spacing w:before="174" w:line="231" w:lineRule="auto"/>
              <w:ind w:left="127" w:right="119"/>
              <w:rPr>
                <w:sz w:val="22"/>
                <w:szCs w:val="22"/>
                <w:highlight w:val="none"/>
              </w:rPr>
            </w:pPr>
            <w:r>
              <w:rPr>
                <w:b/>
                <w:bCs/>
                <w:spacing w:val="-8"/>
                <w:sz w:val="22"/>
                <w:szCs w:val="22"/>
                <w:highlight w:val="none"/>
              </w:rPr>
              <w:t>项目</w:t>
            </w:r>
            <w:r>
              <w:rPr>
                <w:sz w:val="22"/>
                <w:szCs w:val="22"/>
                <w:highlight w:val="none"/>
              </w:rPr>
              <w:t xml:space="preserve"> </w:t>
            </w:r>
            <w:r>
              <w:rPr>
                <w:b/>
                <w:bCs/>
                <w:spacing w:val="-8"/>
                <w:sz w:val="22"/>
                <w:szCs w:val="22"/>
                <w:highlight w:val="none"/>
              </w:rPr>
              <w:t>名称</w:t>
            </w:r>
          </w:p>
        </w:tc>
        <w:tc>
          <w:tcPr>
            <w:tcW w:w="1649" w:type="dxa"/>
            <w:vMerge w:val="restart"/>
            <w:tcBorders>
              <w:bottom w:val="nil"/>
            </w:tcBorders>
            <w:vAlign w:val="top"/>
          </w:tcPr>
          <w:p w14:paraId="04853E10">
            <w:pPr>
              <w:spacing w:line="243" w:lineRule="auto"/>
              <w:rPr>
                <w:rFonts w:ascii="Arial"/>
                <w:sz w:val="21"/>
                <w:highlight w:val="none"/>
              </w:rPr>
            </w:pPr>
          </w:p>
          <w:p w14:paraId="4B5E2B2A">
            <w:pPr>
              <w:pStyle w:val="7"/>
              <w:spacing w:before="71" w:line="220" w:lineRule="auto"/>
              <w:ind w:left="609"/>
              <w:rPr>
                <w:sz w:val="22"/>
                <w:szCs w:val="22"/>
                <w:highlight w:val="none"/>
              </w:rPr>
            </w:pPr>
            <w:r>
              <w:rPr>
                <w:b/>
                <w:bCs/>
                <w:spacing w:val="-8"/>
                <w:sz w:val="22"/>
                <w:szCs w:val="22"/>
                <w:highlight w:val="none"/>
              </w:rPr>
              <w:t>部位</w:t>
            </w:r>
          </w:p>
        </w:tc>
        <w:tc>
          <w:tcPr>
            <w:tcW w:w="3407" w:type="dxa"/>
            <w:gridSpan w:val="2"/>
            <w:vAlign w:val="top"/>
          </w:tcPr>
          <w:p w14:paraId="40188CF8">
            <w:pPr>
              <w:pStyle w:val="7"/>
              <w:spacing w:before="59" w:line="219" w:lineRule="auto"/>
              <w:ind w:left="1487"/>
              <w:rPr>
                <w:sz w:val="22"/>
                <w:szCs w:val="22"/>
                <w:highlight w:val="none"/>
              </w:rPr>
            </w:pPr>
            <w:r>
              <w:rPr>
                <w:b/>
                <w:bCs/>
                <w:spacing w:val="-6"/>
                <w:sz w:val="22"/>
                <w:szCs w:val="22"/>
                <w:highlight w:val="none"/>
              </w:rPr>
              <w:t>材质</w:t>
            </w:r>
          </w:p>
        </w:tc>
        <w:tc>
          <w:tcPr>
            <w:tcW w:w="1471" w:type="dxa"/>
            <w:vMerge w:val="restart"/>
            <w:tcBorders>
              <w:bottom w:val="nil"/>
            </w:tcBorders>
            <w:vAlign w:val="top"/>
          </w:tcPr>
          <w:p w14:paraId="51A3AC81">
            <w:pPr>
              <w:spacing w:line="242" w:lineRule="auto"/>
              <w:rPr>
                <w:rFonts w:ascii="Arial"/>
                <w:sz w:val="21"/>
                <w:highlight w:val="none"/>
              </w:rPr>
            </w:pPr>
          </w:p>
          <w:p w14:paraId="6945A940">
            <w:pPr>
              <w:pStyle w:val="7"/>
              <w:spacing w:before="72" w:line="221" w:lineRule="auto"/>
              <w:ind w:left="304"/>
              <w:rPr>
                <w:sz w:val="22"/>
                <w:szCs w:val="22"/>
                <w:highlight w:val="none"/>
              </w:rPr>
            </w:pPr>
            <w:r>
              <w:rPr>
                <w:b/>
                <w:bCs/>
                <w:spacing w:val="-5"/>
                <w:sz w:val="22"/>
                <w:szCs w:val="22"/>
                <w:highlight w:val="none"/>
              </w:rPr>
              <w:t>安装方式</w:t>
            </w:r>
          </w:p>
        </w:tc>
        <w:tc>
          <w:tcPr>
            <w:tcW w:w="1268" w:type="dxa"/>
            <w:vMerge w:val="restart"/>
            <w:tcBorders>
              <w:bottom w:val="nil"/>
            </w:tcBorders>
            <w:vAlign w:val="top"/>
          </w:tcPr>
          <w:p w14:paraId="68D773D8">
            <w:pPr>
              <w:pStyle w:val="7"/>
              <w:spacing w:before="32" w:line="229" w:lineRule="auto"/>
              <w:ind w:left="202" w:right="188"/>
              <w:jc w:val="both"/>
              <w:rPr>
                <w:sz w:val="22"/>
                <w:szCs w:val="22"/>
                <w:highlight w:val="none"/>
              </w:rPr>
            </w:pPr>
            <w:r>
              <w:rPr>
                <w:b/>
                <w:bCs/>
                <w:spacing w:val="-5"/>
                <w:sz w:val="22"/>
                <w:szCs w:val="22"/>
                <w:highlight w:val="none"/>
              </w:rPr>
              <w:t>综合单价</w:t>
            </w:r>
            <w:r>
              <w:rPr>
                <w:spacing w:val="1"/>
                <w:sz w:val="22"/>
                <w:szCs w:val="22"/>
                <w:highlight w:val="none"/>
              </w:rPr>
              <w:t xml:space="preserve"> </w:t>
            </w:r>
            <w:r>
              <w:rPr>
                <w:b/>
                <w:bCs/>
                <w:spacing w:val="-5"/>
                <w:sz w:val="22"/>
                <w:szCs w:val="22"/>
                <w:highlight w:val="none"/>
              </w:rPr>
              <w:t>最高限价</w:t>
            </w:r>
            <w:r>
              <w:rPr>
                <w:spacing w:val="1"/>
                <w:sz w:val="22"/>
                <w:szCs w:val="22"/>
                <w:highlight w:val="none"/>
              </w:rPr>
              <w:t xml:space="preserve"> </w:t>
            </w:r>
            <w:r>
              <w:rPr>
                <w:b/>
                <w:bCs/>
                <w:spacing w:val="31"/>
                <w:sz w:val="22"/>
                <w:szCs w:val="22"/>
                <w:highlight w:val="none"/>
              </w:rPr>
              <w:t>（元）</w:t>
            </w:r>
          </w:p>
        </w:tc>
        <w:tc>
          <w:tcPr>
            <w:tcW w:w="600" w:type="dxa"/>
            <w:vMerge w:val="restart"/>
            <w:tcBorders>
              <w:bottom w:val="nil"/>
            </w:tcBorders>
            <w:textDirection w:val="tbRlV"/>
            <w:vAlign w:val="top"/>
          </w:tcPr>
          <w:p w14:paraId="3C3EE251">
            <w:pPr>
              <w:pStyle w:val="7"/>
              <w:spacing w:before="186" w:line="210" w:lineRule="auto"/>
              <w:ind w:left="174"/>
              <w:rPr>
                <w:sz w:val="22"/>
                <w:szCs w:val="22"/>
                <w:highlight w:val="none"/>
              </w:rPr>
            </w:pPr>
            <w:r>
              <w:rPr>
                <w:b/>
                <w:bCs/>
                <w:spacing w:val="30"/>
                <w:sz w:val="22"/>
                <w:szCs w:val="22"/>
                <w:highlight w:val="none"/>
              </w:rPr>
              <w:t>备注</w:t>
            </w:r>
          </w:p>
        </w:tc>
      </w:tr>
      <w:tr w14:paraId="4B694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469" w:type="dxa"/>
            <w:vMerge w:val="continue"/>
            <w:tcBorders>
              <w:top w:val="nil"/>
            </w:tcBorders>
            <w:textDirection w:val="tbRlV"/>
            <w:vAlign w:val="top"/>
          </w:tcPr>
          <w:p w14:paraId="4BA72211">
            <w:pPr>
              <w:rPr>
                <w:rFonts w:ascii="Arial"/>
                <w:sz w:val="21"/>
                <w:highlight w:val="none"/>
              </w:rPr>
            </w:pPr>
          </w:p>
        </w:tc>
        <w:tc>
          <w:tcPr>
            <w:tcW w:w="682" w:type="dxa"/>
            <w:vMerge w:val="continue"/>
            <w:tcBorders>
              <w:top w:val="nil"/>
            </w:tcBorders>
            <w:vAlign w:val="top"/>
          </w:tcPr>
          <w:p w14:paraId="65755800">
            <w:pPr>
              <w:rPr>
                <w:rFonts w:ascii="Arial"/>
                <w:sz w:val="21"/>
                <w:highlight w:val="none"/>
              </w:rPr>
            </w:pPr>
          </w:p>
        </w:tc>
        <w:tc>
          <w:tcPr>
            <w:tcW w:w="1649" w:type="dxa"/>
            <w:vMerge w:val="continue"/>
            <w:tcBorders>
              <w:top w:val="nil"/>
            </w:tcBorders>
            <w:vAlign w:val="top"/>
          </w:tcPr>
          <w:p w14:paraId="4C89EF90">
            <w:pPr>
              <w:rPr>
                <w:rFonts w:ascii="Arial"/>
                <w:sz w:val="21"/>
                <w:highlight w:val="none"/>
              </w:rPr>
            </w:pPr>
          </w:p>
        </w:tc>
        <w:tc>
          <w:tcPr>
            <w:tcW w:w="1622" w:type="dxa"/>
            <w:vAlign w:val="top"/>
          </w:tcPr>
          <w:p w14:paraId="6526ED8B">
            <w:pPr>
              <w:pStyle w:val="7"/>
              <w:spacing w:before="141" w:line="221" w:lineRule="auto"/>
              <w:ind w:left="597"/>
              <w:rPr>
                <w:sz w:val="22"/>
                <w:szCs w:val="22"/>
                <w:highlight w:val="none"/>
              </w:rPr>
            </w:pPr>
            <w:r>
              <w:rPr>
                <w:spacing w:val="-6"/>
                <w:sz w:val="22"/>
                <w:szCs w:val="22"/>
                <w:highlight w:val="none"/>
              </w:rPr>
              <w:t>玻璃</w:t>
            </w:r>
          </w:p>
        </w:tc>
        <w:tc>
          <w:tcPr>
            <w:tcW w:w="1785" w:type="dxa"/>
            <w:vAlign w:val="top"/>
          </w:tcPr>
          <w:p w14:paraId="09180CDA">
            <w:pPr>
              <w:pStyle w:val="7"/>
              <w:spacing w:before="141" w:line="219" w:lineRule="auto"/>
              <w:ind w:left="119"/>
              <w:rPr>
                <w:sz w:val="22"/>
                <w:szCs w:val="22"/>
                <w:highlight w:val="none"/>
              </w:rPr>
            </w:pPr>
            <w:r>
              <w:rPr>
                <w:spacing w:val="-7"/>
                <w:sz w:val="22"/>
                <w:szCs w:val="22"/>
                <w:highlight w:val="none"/>
              </w:rPr>
              <w:t>型材</w:t>
            </w:r>
          </w:p>
        </w:tc>
        <w:tc>
          <w:tcPr>
            <w:tcW w:w="1471" w:type="dxa"/>
            <w:vMerge w:val="continue"/>
            <w:tcBorders>
              <w:top w:val="nil"/>
            </w:tcBorders>
            <w:vAlign w:val="top"/>
          </w:tcPr>
          <w:p w14:paraId="21E6BC4B">
            <w:pPr>
              <w:rPr>
                <w:rFonts w:ascii="Arial"/>
                <w:sz w:val="21"/>
                <w:highlight w:val="none"/>
              </w:rPr>
            </w:pPr>
          </w:p>
        </w:tc>
        <w:tc>
          <w:tcPr>
            <w:tcW w:w="1268" w:type="dxa"/>
            <w:vMerge w:val="continue"/>
            <w:tcBorders>
              <w:top w:val="nil"/>
            </w:tcBorders>
            <w:vAlign w:val="top"/>
          </w:tcPr>
          <w:p w14:paraId="0B10CC2E">
            <w:pPr>
              <w:rPr>
                <w:rFonts w:ascii="Arial"/>
                <w:sz w:val="21"/>
                <w:highlight w:val="none"/>
              </w:rPr>
            </w:pPr>
          </w:p>
        </w:tc>
        <w:tc>
          <w:tcPr>
            <w:tcW w:w="600" w:type="dxa"/>
            <w:vMerge w:val="continue"/>
            <w:tcBorders>
              <w:top w:val="nil"/>
            </w:tcBorders>
            <w:textDirection w:val="tbRlV"/>
            <w:vAlign w:val="top"/>
          </w:tcPr>
          <w:p w14:paraId="1D05A5CF">
            <w:pPr>
              <w:rPr>
                <w:rFonts w:ascii="Arial"/>
                <w:sz w:val="21"/>
                <w:highlight w:val="none"/>
              </w:rPr>
            </w:pPr>
          </w:p>
        </w:tc>
      </w:tr>
      <w:tr w14:paraId="3A66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restart"/>
            <w:tcBorders>
              <w:bottom w:val="nil"/>
            </w:tcBorders>
            <w:vAlign w:val="top"/>
          </w:tcPr>
          <w:p w14:paraId="5C66838C">
            <w:pPr>
              <w:spacing w:line="267" w:lineRule="auto"/>
              <w:rPr>
                <w:rFonts w:ascii="Arial"/>
                <w:sz w:val="21"/>
                <w:highlight w:val="none"/>
              </w:rPr>
            </w:pPr>
          </w:p>
          <w:p w14:paraId="741FEB62">
            <w:pPr>
              <w:spacing w:line="267" w:lineRule="auto"/>
              <w:rPr>
                <w:rFonts w:ascii="Arial"/>
                <w:sz w:val="21"/>
                <w:highlight w:val="none"/>
              </w:rPr>
            </w:pPr>
          </w:p>
          <w:p w14:paraId="2183B869">
            <w:pPr>
              <w:spacing w:line="267" w:lineRule="auto"/>
              <w:rPr>
                <w:rFonts w:ascii="Arial"/>
                <w:sz w:val="21"/>
                <w:highlight w:val="none"/>
              </w:rPr>
            </w:pPr>
          </w:p>
          <w:p w14:paraId="5AEB6920">
            <w:pPr>
              <w:spacing w:line="268" w:lineRule="auto"/>
              <w:rPr>
                <w:rFonts w:ascii="Arial"/>
                <w:sz w:val="21"/>
                <w:highlight w:val="none"/>
              </w:rPr>
            </w:pPr>
          </w:p>
          <w:p w14:paraId="463B9AA8">
            <w:pPr>
              <w:spacing w:line="268" w:lineRule="auto"/>
              <w:rPr>
                <w:rFonts w:ascii="Arial"/>
                <w:sz w:val="21"/>
                <w:highlight w:val="none"/>
              </w:rPr>
            </w:pPr>
          </w:p>
          <w:p w14:paraId="36228C7A">
            <w:pPr>
              <w:spacing w:line="268" w:lineRule="auto"/>
              <w:rPr>
                <w:rFonts w:ascii="Arial"/>
                <w:sz w:val="21"/>
                <w:highlight w:val="none"/>
              </w:rPr>
            </w:pPr>
          </w:p>
          <w:p w14:paraId="102B30A0">
            <w:pPr>
              <w:spacing w:line="268" w:lineRule="auto"/>
              <w:rPr>
                <w:rFonts w:ascii="Arial"/>
                <w:sz w:val="21"/>
                <w:highlight w:val="none"/>
              </w:rPr>
            </w:pPr>
          </w:p>
          <w:p w14:paraId="42A45B20">
            <w:pPr>
              <w:pStyle w:val="7"/>
              <w:spacing w:before="71" w:line="184" w:lineRule="auto"/>
              <w:ind w:left="201"/>
              <w:rPr>
                <w:sz w:val="22"/>
                <w:szCs w:val="22"/>
                <w:highlight w:val="none"/>
              </w:rPr>
            </w:pPr>
            <w:r>
              <w:rPr>
                <w:sz w:val="22"/>
                <w:szCs w:val="22"/>
                <w:highlight w:val="none"/>
              </w:rPr>
              <w:t>1</w:t>
            </w:r>
          </w:p>
        </w:tc>
        <w:tc>
          <w:tcPr>
            <w:tcW w:w="682" w:type="dxa"/>
            <w:vMerge w:val="restart"/>
            <w:tcBorders>
              <w:bottom w:val="nil"/>
            </w:tcBorders>
            <w:vAlign w:val="top"/>
          </w:tcPr>
          <w:p w14:paraId="2E6FEB6C">
            <w:pPr>
              <w:spacing w:line="262" w:lineRule="auto"/>
              <w:rPr>
                <w:rFonts w:ascii="Arial"/>
                <w:sz w:val="21"/>
                <w:highlight w:val="none"/>
              </w:rPr>
            </w:pPr>
          </w:p>
          <w:p w14:paraId="5544DEEB">
            <w:pPr>
              <w:spacing w:line="262" w:lineRule="auto"/>
              <w:rPr>
                <w:rFonts w:ascii="Arial"/>
                <w:sz w:val="21"/>
                <w:highlight w:val="none"/>
              </w:rPr>
            </w:pPr>
          </w:p>
          <w:p w14:paraId="7D83406C">
            <w:pPr>
              <w:spacing w:line="262" w:lineRule="auto"/>
              <w:rPr>
                <w:rFonts w:ascii="Arial"/>
                <w:sz w:val="21"/>
                <w:highlight w:val="none"/>
              </w:rPr>
            </w:pPr>
          </w:p>
          <w:p w14:paraId="73261F3B">
            <w:pPr>
              <w:spacing w:line="263" w:lineRule="auto"/>
              <w:rPr>
                <w:rFonts w:ascii="Arial"/>
                <w:sz w:val="21"/>
                <w:highlight w:val="none"/>
              </w:rPr>
            </w:pPr>
          </w:p>
          <w:p w14:paraId="0F6E163C">
            <w:pPr>
              <w:spacing w:line="263" w:lineRule="auto"/>
              <w:rPr>
                <w:rFonts w:ascii="Arial"/>
                <w:sz w:val="21"/>
                <w:highlight w:val="none"/>
              </w:rPr>
            </w:pPr>
          </w:p>
          <w:p w14:paraId="6FF7D043">
            <w:pPr>
              <w:spacing w:line="263" w:lineRule="auto"/>
              <w:rPr>
                <w:rFonts w:ascii="Arial"/>
                <w:sz w:val="21"/>
                <w:highlight w:val="none"/>
              </w:rPr>
            </w:pPr>
          </w:p>
          <w:p w14:paraId="7890AF4E">
            <w:pPr>
              <w:spacing w:line="263" w:lineRule="auto"/>
              <w:rPr>
                <w:rFonts w:ascii="Arial"/>
                <w:sz w:val="21"/>
                <w:highlight w:val="none"/>
              </w:rPr>
            </w:pPr>
          </w:p>
          <w:p w14:paraId="37357B84">
            <w:pPr>
              <w:pStyle w:val="7"/>
              <w:spacing w:before="72" w:line="224" w:lineRule="auto"/>
              <w:ind w:left="259"/>
              <w:rPr>
                <w:sz w:val="22"/>
                <w:szCs w:val="22"/>
                <w:highlight w:val="none"/>
              </w:rPr>
            </w:pPr>
            <w:r>
              <w:rPr>
                <w:sz w:val="22"/>
                <w:szCs w:val="22"/>
                <w:highlight w:val="none"/>
              </w:rPr>
              <w:t>门</w:t>
            </w:r>
          </w:p>
        </w:tc>
        <w:tc>
          <w:tcPr>
            <w:tcW w:w="1649" w:type="dxa"/>
            <w:vMerge w:val="restart"/>
            <w:tcBorders>
              <w:bottom w:val="nil"/>
            </w:tcBorders>
            <w:vAlign w:val="top"/>
          </w:tcPr>
          <w:p w14:paraId="18D5A94F">
            <w:pPr>
              <w:spacing w:line="321" w:lineRule="auto"/>
              <w:rPr>
                <w:rFonts w:ascii="Arial"/>
                <w:sz w:val="21"/>
                <w:highlight w:val="none"/>
              </w:rPr>
            </w:pPr>
          </w:p>
          <w:p w14:paraId="34B34867">
            <w:pPr>
              <w:pStyle w:val="7"/>
              <w:spacing w:before="72" w:line="222" w:lineRule="auto"/>
              <w:ind w:left="498"/>
              <w:rPr>
                <w:sz w:val="22"/>
                <w:szCs w:val="22"/>
                <w:highlight w:val="none"/>
              </w:rPr>
            </w:pPr>
            <w:r>
              <w:rPr>
                <w:spacing w:val="-3"/>
                <w:sz w:val="22"/>
                <w:szCs w:val="22"/>
                <w:highlight w:val="none"/>
              </w:rPr>
              <w:t>推拉门</w:t>
            </w:r>
          </w:p>
        </w:tc>
        <w:tc>
          <w:tcPr>
            <w:tcW w:w="1622" w:type="dxa"/>
            <w:vMerge w:val="restart"/>
            <w:tcBorders>
              <w:bottom w:val="nil"/>
            </w:tcBorders>
            <w:vAlign w:val="top"/>
          </w:tcPr>
          <w:p w14:paraId="7F10E7C8">
            <w:pPr>
              <w:pStyle w:val="7"/>
              <w:spacing w:before="224" w:line="222" w:lineRule="auto"/>
              <w:ind w:left="188"/>
              <w:rPr>
                <w:sz w:val="22"/>
                <w:szCs w:val="22"/>
                <w:highlight w:val="none"/>
              </w:rPr>
            </w:pPr>
            <w:r>
              <w:rPr>
                <w:spacing w:val="-3"/>
                <w:sz w:val="22"/>
                <w:szCs w:val="22"/>
                <w:highlight w:val="none"/>
              </w:rPr>
              <w:t>5+9+5</w:t>
            </w:r>
            <w:r>
              <w:rPr>
                <w:spacing w:val="-44"/>
                <w:sz w:val="22"/>
                <w:szCs w:val="22"/>
                <w:highlight w:val="none"/>
              </w:rPr>
              <w:t xml:space="preserve"> </w:t>
            </w:r>
            <w:r>
              <w:rPr>
                <w:spacing w:val="-3"/>
                <w:sz w:val="22"/>
                <w:szCs w:val="22"/>
                <w:highlight w:val="none"/>
              </w:rPr>
              <w:t>双钢化</w:t>
            </w:r>
          </w:p>
        </w:tc>
        <w:tc>
          <w:tcPr>
            <w:tcW w:w="1785" w:type="dxa"/>
            <w:vAlign w:val="top"/>
          </w:tcPr>
          <w:p w14:paraId="403265B5">
            <w:pPr>
              <w:pStyle w:val="7"/>
              <w:spacing w:before="55" w:line="222" w:lineRule="auto"/>
              <w:ind w:left="113"/>
              <w:rPr>
                <w:sz w:val="22"/>
                <w:szCs w:val="22"/>
                <w:highlight w:val="none"/>
              </w:rPr>
            </w:pPr>
            <w:r>
              <w:rPr>
                <w:spacing w:val="-5"/>
                <w:sz w:val="22"/>
                <w:szCs w:val="22"/>
                <w:highlight w:val="none"/>
              </w:rPr>
              <w:t>60</w:t>
            </w:r>
            <w:r>
              <w:rPr>
                <w:spacing w:val="-39"/>
                <w:sz w:val="22"/>
                <w:szCs w:val="22"/>
                <w:highlight w:val="none"/>
              </w:rPr>
              <w:t xml:space="preserve"> </w:t>
            </w:r>
            <w:r>
              <w:rPr>
                <w:spacing w:val="-5"/>
                <w:sz w:val="22"/>
                <w:szCs w:val="22"/>
                <w:highlight w:val="none"/>
              </w:rPr>
              <w:t>系白色</w:t>
            </w:r>
          </w:p>
        </w:tc>
        <w:tc>
          <w:tcPr>
            <w:tcW w:w="1471" w:type="dxa"/>
            <w:vAlign w:val="top"/>
          </w:tcPr>
          <w:p w14:paraId="1A63A456">
            <w:pPr>
              <w:pStyle w:val="7"/>
              <w:spacing w:before="55" w:line="225" w:lineRule="auto"/>
              <w:ind w:left="685"/>
              <w:rPr>
                <w:sz w:val="22"/>
                <w:szCs w:val="22"/>
                <w:highlight w:val="none"/>
              </w:rPr>
            </w:pPr>
            <w:r>
              <w:rPr>
                <w:sz w:val="22"/>
                <w:szCs w:val="22"/>
                <w:highlight w:val="none"/>
              </w:rPr>
              <w:t>/</w:t>
            </w:r>
          </w:p>
        </w:tc>
        <w:tc>
          <w:tcPr>
            <w:tcW w:w="1268" w:type="dxa"/>
            <w:vAlign w:val="top"/>
          </w:tcPr>
          <w:p w14:paraId="53883717">
            <w:pPr>
              <w:pStyle w:val="7"/>
              <w:spacing w:before="54" w:line="221" w:lineRule="auto"/>
              <w:ind w:left="174"/>
              <w:rPr>
                <w:sz w:val="22"/>
                <w:szCs w:val="22"/>
                <w:highlight w:val="none"/>
              </w:rPr>
            </w:pPr>
            <w:r>
              <w:rPr>
                <w:spacing w:val="-3"/>
                <w:sz w:val="22"/>
                <w:szCs w:val="22"/>
                <w:highlight w:val="none"/>
              </w:rPr>
              <w:t>480</w:t>
            </w:r>
            <w:r>
              <w:rPr>
                <w:spacing w:val="-46"/>
                <w:sz w:val="22"/>
                <w:szCs w:val="22"/>
                <w:highlight w:val="none"/>
              </w:rPr>
              <w:t xml:space="preserve"> </w:t>
            </w:r>
            <w:r>
              <w:rPr>
                <w:spacing w:val="-3"/>
                <w:sz w:val="22"/>
                <w:szCs w:val="22"/>
                <w:highlight w:val="none"/>
              </w:rPr>
              <w:t>元/㎡</w:t>
            </w:r>
          </w:p>
        </w:tc>
        <w:tc>
          <w:tcPr>
            <w:tcW w:w="600" w:type="dxa"/>
            <w:vAlign w:val="top"/>
          </w:tcPr>
          <w:p w14:paraId="6D7BE74F">
            <w:pPr>
              <w:rPr>
                <w:rFonts w:ascii="Arial"/>
                <w:sz w:val="21"/>
                <w:highlight w:val="none"/>
              </w:rPr>
            </w:pPr>
          </w:p>
        </w:tc>
      </w:tr>
      <w:tr w14:paraId="5A7C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C7485DE">
            <w:pPr>
              <w:rPr>
                <w:rFonts w:ascii="Arial"/>
                <w:sz w:val="21"/>
                <w:highlight w:val="none"/>
              </w:rPr>
            </w:pPr>
          </w:p>
        </w:tc>
        <w:tc>
          <w:tcPr>
            <w:tcW w:w="682" w:type="dxa"/>
            <w:vMerge w:val="continue"/>
            <w:tcBorders>
              <w:top w:val="nil"/>
              <w:bottom w:val="nil"/>
            </w:tcBorders>
            <w:vAlign w:val="top"/>
          </w:tcPr>
          <w:p w14:paraId="4253FEB0">
            <w:pPr>
              <w:rPr>
                <w:rFonts w:ascii="Arial"/>
                <w:sz w:val="21"/>
                <w:highlight w:val="none"/>
              </w:rPr>
            </w:pPr>
          </w:p>
        </w:tc>
        <w:tc>
          <w:tcPr>
            <w:tcW w:w="1649" w:type="dxa"/>
            <w:vMerge w:val="continue"/>
            <w:tcBorders>
              <w:top w:val="nil"/>
              <w:bottom w:val="nil"/>
            </w:tcBorders>
            <w:vAlign w:val="top"/>
          </w:tcPr>
          <w:p w14:paraId="5FAEE903">
            <w:pPr>
              <w:rPr>
                <w:rFonts w:ascii="Arial"/>
                <w:sz w:val="21"/>
                <w:highlight w:val="none"/>
              </w:rPr>
            </w:pPr>
          </w:p>
        </w:tc>
        <w:tc>
          <w:tcPr>
            <w:tcW w:w="1622" w:type="dxa"/>
            <w:vMerge w:val="continue"/>
            <w:tcBorders>
              <w:top w:val="nil"/>
            </w:tcBorders>
            <w:vAlign w:val="top"/>
          </w:tcPr>
          <w:p w14:paraId="28AC9DCF">
            <w:pPr>
              <w:rPr>
                <w:rFonts w:ascii="Arial"/>
                <w:sz w:val="21"/>
                <w:highlight w:val="none"/>
              </w:rPr>
            </w:pPr>
          </w:p>
        </w:tc>
        <w:tc>
          <w:tcPr>
            <w:tcW w:w="1785" w:type="dxa"/>
            <w:vAlign w:val="top"/>
          </w:tcPr>
          <w:p w14:paraId="06043BFE">
            <w:pPr>
              <w:pStyle w:val="7"/>
              <w:spacing w:before="56" w:line="219" w:lineRule="auto"/>
              <w:ind w:left="118"/>
              <w:rPr>
                <w:sz w:val="22"/>
                <w:szCs w:val="22"/>
                <w:highlight w:val="none"/>
              </w:rPr>
            </w:pPr>
            <w:r>
              <w:rPr>
                <w:spacing w:val="-3"/>
                <w:sz w:val="22"/>
                <w:szCs w:val="22"/>
                <w:highlight w:val="none"/>
              </w:rPr>
              <w:t>（不含型材）</w:t>
            </w:r>
          </w:p>
        </w:tc>
        <w:tc>
          <w:tcPr>
            <w:tcW w:w="1471" w:type="dxa"/>
            <w:vAlign w:val="top"/>
          </w:tcPr>
          <w:p w14:paraId="1047FC03">
            <w:pPr>
              <w:pStyle w:val="7"/>
              <w:spacing w:before="55" w:line="225" w:lineRule="auto"/>
              <w:ind w:left="685"/>
              <w:rPr>
                <w:sz w:val="22"/>
                <w:szCs w:val="22"/>
                <w:highlight w:val="none"/>
              </w:rPr>
            </w:pPr>
            <w:r>
              <w:rPr>
                <w:sz w:val="22"/>
                <w:szCs w:val="22"/>
                <w:highlight w:val="none"/>
              </w:rPr>
              <w:t>/</w:t>
            </w:r>
          </w:p>
        </w:tc>
        <w:tc>
          <w:tcPr>
            <w:tcW w:w="1268" w:type="dxa"/>
            <w:vAlign w:val="top"/>
          </w:tcPr>
          <w:p w14:paraId="5A015439">
            <w:pPr>
              <w:pStyle w:val="7"/>
              <w:spacing w:before="55" w:line="221" w:lineRule="auto"/>
              <w:ind w:left="191"/>
              <w:rPr>
                <w:sz w:val="22"/>
                <w:szCs w:val="22"/>
                <w:highlight w:val="none"/>
              </w:rPr>
            </w:pPr>
            <w:r>
              <w:rPr>
                <w:spacing w:val="-6"/>
                <w:sz w:val="22"/>
                <w:szCs w:val="22"/>
                <w:highlight w:val="none"/>
              </w:rPr>
              <w:t>180</w:t>
            </w:r>
            <w:r>
              <w:rPr>
                <w:spacing w:val="-45"/>
                <w:sz w:val="22"/>
                <w:szCs w:val="22"/>
                <w:highlight w:val="none"/>
              </w:rPr>
              <w:t xml:space="preserve"> </w:t>
            </w:r>
            <w:r>
              <w:rPr>
                <w:spacing w:val="-6"/>
                <w:sz w:val="22"/>
                <w:szCs w:val="22"/>
                <w:highlight w:val="none"/>
              </w:rPr>
              <w:t>元/㎡</w:t>
            </w:r>
          </w:p>
        </w:tc>
        <w:tc>
          <w:tcPr>
            <w:tcW w:w="600" w:type="dxa"/>
            <w:vAlign w:val="top"/>
          </w:tcPr>
          <w:p w14:paraId="6F238F6C">
            <w:pPr>
              <w:rPr>
                <w:rFonts w:ascii="Arial"/>
                <w:sz w:val="21"/>
                <w:highlight w:val="none"/>
              </w:rPr>
            </w:pPr>
          </w:p>
        </w:tc>
      </w:tr>
      <w:tr w14:paraId="5828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4E67DD83">
            <w:pPr>
              <w:rPr>
                <w:rFonts w:ascii="Arial"/>
                <w:sz w:val="21"/>
                <w:highlight w:val="none"/>
              </w:rPr>
            </w:pPr>
          </w:p>
        </w:tc>
        <w:tc>
          <w:tcPr>
            <w:tcW w:w="682" w:type="dxa"/>
            <w:vMerge w:val="continue"/>
            <w:tcBorders>
              <w:top w:val="nil"/>
              <w:bottom w:val="nil"/>
            </w:tcBorders>
            <w:vAlign w:val="top"/>
          </w:tcPr>
          <w:p w14:paraId="639802CA">
            <w:pPr>
              <w:rPr>
                <w:rFonts w:ascii="Arial"/>
                <w:sz w:val="21"/>
                <w:highlight w:val="none"/>
              </w:rPr>
            </w:pPr>
          </w:p>
        </w:tc>
        <w:tc>
          <w:tcPr>
            <w:tcW w:w="1649" w:type="dxa"/>
            <w:vMerge w:val="continue"/>
            <w:tcBorders>
              <w:top w:val="nil"/>
            </w:tcBorders>
            <w:vAlign w:val="top"/>
          </w:tcPr>
          <w:p w14:paraId="04CB005C">
            <w:pPr>
              <w:rPr>
                <w:rFonts w:ascii="Arial"/>
                <w:sz w:val="21"/>
                <w:highlight w:val="none"/>
              </w:rPr>
            </w:pPr>
          </w:p>
        </w:tc>
        <w:tc>
          <w:tcPr>
            <w:tcW w:w="1622" w:type="dxa"/>
            <w:vAlign w:val="top"/>
          </w:tcPr>
          <w:p w14:paraId="36642576">
            <w:pPr>
              <w:pStyle w:val="7"/>
              <w:spacing w:before="54" w:line="225" w:lineRule="auto"/>
              <w:ind w:left="758"/>
              <w:rPr>
                <w:sz w:val="22"/>
                <w:szCs w:val="22"/>
                <w:highlight w:val="none"/>
              </w:rPr>
            </w:pPr>
            <w:r>
              <w:rPr>
                <w:sz w:val="22"/>
                <w:szCs w:val="22"/>
                <w:highlight w:val="none"/>
              </w:rPr>
              <w:t>/</w:t>
            </w:r>
          </w:p>
        </w:tc>
        <w:tc>
          <w:tcPr>
            <w:tcW w:w="1785" w:type="dxa"/>
            <w:vAlign w:val="top"/>
          </w:tcPr>
          <w:p w14:paraId="06DB754C">
            <w:pPr>
              <w:pStyle w:val="7"/>
              <w:spacing w:before="54" w:line="220" w:lineRule="auto"/>
              <w:ind w:left="117"/>
              <w:rPr>
                <w:sz w:val="22"/>
                <w:szCs w:val="22"/>
                <w:highlight w:val="none"/>
              </w:rPr>
            </w:pPr>
            <w:r>
              <w:rPr>
                <w:spacing w:val="-5"/>
                <w:sz w:val="22"/>
                <w:szCs w:val="22"/>
                <w:highlight w:val="none"/>
              </w:rPr>
              <w:t>月牙锁</w:t>
            </w:r>
          </w:p>
        </w:tc>
        <w:tc>
          <w:tcPr>
            <w:tcW w:w="1471" w:type="dxa"/>
            <w:vAlign w:val="top"/>
          </w:tcPr>
          <w:p w14:paraId="3C77CAC8">
            <w:pPr>
              <w:pStyle w:val="7"/>
              <w:spacing w:before="54" w:line="225" w:lineRule="auto"/>
              <w:ind w:left="685"/>
              <w:rPr>
                <w:sz w:val="22"/>
                <w:szCs w:val="22"/>
                <w:highlight w:val="none"/>
              </w:rPr>
            </w:pPr>
            <w:r>
              <w:rPr>
                <w:sz w:val="22"/>
                <w:szCs w:val="22"/>
                <w:highlight w:val="none"/>
              </w:rPr>
              <w:t>/</w:t>
            </w:r>
          </w:p>
        </w:tc>
        <w:tc>
          <w:tcPr>
            <w:tcW w:w="1268" w:type="dxa"/>
            <w:vAlign w:val="top"/>
          </w:tcPr>
          <w:p w14:paraId="04EA1BEA">
            <w:pPr>
              <w:pStyle w:val="7"/>
              <w:spacing w:before="54" w:line="220" w:lineRule="auto"/>
              <w:ind w:left="178"/>
              <w:rPr>
                <w:sz w:val="22"/>
                <w:szCs w:val="22"/>
                <w:highlight w:val="none"/>
              </w:rPr>
            </w:pPr>
            <w:r>
              <w:rPr>
                <w:spacing w:val="-4"/>
                <w:sz w:val="22"/>
                <w:szCs w:val="22"/>
                <w:highlight w:val="none"/>
              </w:rPr>
              <w:t>260</w:t>
            </w:r>
            <w:r>
              <w:rPr>
                <w:spacing w:val="-43"/>
                <w:sz w:val="22"/>
                <w:szCs w:val="22"/>
                <w:highlight w:val="none"/>
              </w:rPr>
              <w:t xml:space="preserve"> </w:t>
            </w:r>
            <w:r>
              <w:rPr>
                <w:spacing w:val="-4"/>
                <w:sz w:val="22"/>
                <w:szCs w:val="22"/>
                <w:highlight w:val="none"/>
              </w:rPr>
              <w:t>元/个</w:t>
            </w:r>
          </w:p>
        </w:tc>
        <w:tc>
          <w:tcPr>
            <w:tcW w:w="600" w:type="dxa"/>
            <w:vAlign w:val="top"/>
          </w:tcPr>
          <w:p w14:paraId="56C6BE59">
            <w:pPr>
              <w:rPr>
                <w:rFonts w:ascii="Arial"/>
                <w:sz w:val="21"/>
                <w:highlight w:val="none"/>
              </w:rPr>
            </w:pPr>
          </w:p>
        </w:tc>
      </w:tr>
      <w:tr w14:paraId="6D2B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1CAD9E9">
            <w:pPr>
              <w:rPr>
                <w:rFonts w:ascii="Arial"/>
                <w:sz w:val="21"/>
                <w:highlight w:val="none"/>
              </w:rPr>
            </w:pPr>
          </w:p>
        </w:tc>
        <w:tc>
          <w:tcPr>
            <w:tcW w:w="682" w:type="dxa"/>
            <w:vMerge w:val="continue"/>
            <w:tcBorders>
              <w:top w:val="nil"/>
              <w:bottom w:val="nil"/>
            </w:tcBorders>
            <w:vAlign w:val="top"/>
          </w:tcPr>
          <w:p w14:paraId="4CF42E15">
            <w:pPr>
              <w:rPr>
                <w:rFonts w:ascii="Arial"/>
                <w:sz w:val="21"/>
                <w:highlight w:val="none"/>
              </w:rPr>
            </w:pPr>
          </w:p>
        </w:tc>
        <w:tc>
          <w:tcPr>
            <w:tcW w:w="1649" w:type="dxa"/>
            <w:vMerge w:val="restart"/>
            <w:tcBorders>
              <w:bottom w:val="nil"/>
            </w:tcBorders>
            <w:vAlign w:val="top"/>
          </w:tcPr>
          <w:p w14:paraId="5AD6A419">
            <w:pPr>
              <w:spacing w:line="245" w:lineRule="auto"/>
              <w:rPr>
                <w:rFonts w:ascii="Arial"/>
                <w:sz w:val="21"/>
                <w:highlight w:val="none"/>
              </w:rPr>
            </w:pPr>
          </w:p>
          <w:p w14:paraId="5B952AA2">
            <w:pPr>
              <w:spacing w:line="246" w:lineRule="auto"/>
              <w:rPr>
                <w:rFonts w:ascii="Arial"/>
                <w:sz w:val="21"/>
                <w:highlight w:val="none"/>
              </w:rPr>
            </w:pPr>
          </w:p>
          <w:p w14:paraId="0D5E2946">
            <w:pPr>
              <w:pStyle w:val="7"/>
              <w:spacing w:before="71" w:line="221" w:lineRule="auto"/>
              <w:ind w:left="278"/>
              <w:rPr>
                <w:sz w:val="22"/>
                <w:szCs w:val="22"/>
                <w:highlight w:val="none"/>
              </w:rPr>
            </w:pPr>
            <w:r>
              <w:rPr>
                <w:spacing w:val="-2"/>
                <w:sz w:val="22"/>
                <w:szCs w:val="22"/>
                <w:highlight w:val="none"/>
              </w:rPr>
              <w:t>厕所平开门</w:t>
            </w:r>
          </w:p>
        </w:tc>
        <w:tc>
          <w:tcPr>
            <w:tcW w:w="1622" w:type="dxa"/>
            <w:vMerge w:val="restart"/>
            <w:tcBorders>
              <w:bottom w:val="nil"/>
            </w:tcBorders>
            <w:vAlign w:val="top"/>
          </w:tcPr>
          <w:p w14:paraId="6F61AC9F">
            <w:pPr>
              <w:pStyle w:val="7"/>
              <w:spacing w:before="225" w:line="221" w:lineRule="auto"/>
              <w:ind w:left="184"/>
              <w:rPr>
                <w:sz w:val="22"/>
                <w:szCs w:val="22"/>
                <w:highlight w:val="none"/>
              </w:rPr>
            </w:pPr>
            <w:r>
              <w:rPr>
                <w:spacing w:val="-4"/>
                <w:sz w:val="22"/>
                <w:szCs w:val="22"/>
                <w:highlight w:val="none"/>
              </w:rPr>
              <w:t>8</w:t>
            </w:r>
            <w:r>
              <w:rPr>
                <w:spacing w:val="-40"/>
                <w:sz w:val="22"/>
                <w:szCs w:val="22"/>
                <w:highlight w:val="none"/>
              </w:rPr>
              <w:t xml:space="preserve"> </w:t>
            </w:r>
            <w:r>
              <w:rPr>
                <w:spacing w:val="-4"/>
                <w:sz w:val="22"/>
                <w:szCs w:val="22"/>
                <w:highlight w:val="none"/>
              </w:rPr>
              <w:t>厚钢化玻璃</w:t>
            </w:r>
          </w:p>
        </w:tc>
        <w:tc>
          <w:tcPr>
            <w:tcW w:w="1785" w:type="dxa"/>
            <w:vAlign w:val="top"/>
          </w:tcPr>
          <w:p w14:paraId="77458675">
            <w:pPr>
              <w:pStyle w:val="7"/>
              <w:spacing w:before="54" w:line="220" w:lineRule="auto"/>
              <w:ind w:left="113"/>
              <w:rPr>
                <w:sz w:val="22"/>
                <w:szCs w:val="22"/>
                <w:highlight w:val="none"/>
              </w:rPr>
            </w:pPr>
            <w:r>
              <w:rPr>
                <w:spacing w:val="-2"/>
                <w:sz w:val="22"/>
                <w:szCs w:val="22"/>
                <w:highlight w:val="none"/>
              </w:rPr>
              <w:t>铝合金门框</w:t>
            </w:r>
          </w:p>
        </w:tc>
        <w:tc>
          <w:tcPr>
            <w:tcW w:w="1471" w:type="dxa"/>
            <w:vAlign w:val="top"/>
          </w:tcPr>
          <w:p w14:paraId="15DE093C">
            <w:pPr>
              <w:pStyle w:val="7"/>
              <w:spacing w:before="55" w:line="225" w:lineRule="auto"/>
              <w:ind w:left="685"/>
              <w:rPr>
                <w:sz w:val="22"/>
                <w:szCs w:val="22"/>
                <w:highlight w:val="none"/>
              </w:rPr>
            </w:pPr>
            <w:r>
              <w:rPr>
                <w:sz w:val="22"/>
                <w:szCs w:val="22"/>
                <w:highlight w:val="none"/>
              </w:rPr>
              <w:t>/</w:t>
            </w:r>
          </w:p>
        </w:tc>
        <w:tc>
          <w:tcPr>
            <w:tcW w:w="1268" w:type="dxa"/>
            <w:vAlign w:val="top"/>
          </w:tcPr>
          <w:p w14:paraId="12494CBB">
            <w:pPr>
              <w:pStyle w:val="7"/>
              <w:spacing w:before="54" w:line="221" w:lineRule="auto"/>
              <w:ind w:left="179"/>
              <w:rPr>
                <w:sz w:val="22"/>
                <w:szCs w:val="22"/>
                <w:highlight w:val="none"/>
              </w:rPr>
            </w:pPr>
            <w:r>
              <w:rPr>
                <w:spacing w:val="-4"/>
                <w:sz w:val="22"/>
                <w:szCs w:val="22"/>
                <w:highlight w:val="none"/>
              </w:rPr>
              <w:t>580</w:t>
            </w:r>
            <w:r>
              <w:rPr>
                <w:spacing w:val="-45"/>
                <w:sz w:val="22"/>
                <w:szCs w:val="22"/>
                <w:highlight w:val="none"/>
              </w:rPr>
              <w:t xml:space="preserve"> </w:t>
            </w:r>
            <w:r>
              <w:rPr>
                <w:spacing w:val="-4"/>
                <w:sz w:val="22"/>
                <w:szCs w:val="22"/>
                <w:highlight w:val="none"/>
              </w:rPr>
              <w:t>元/㎡</w:t>
            </w:r>
          </w:p>
        </w:tc>
        <w:tc>
          <w:tcPr>
            <w:tcW w:w="600" w:type="dxa"/>
            <w:vAlign w:val="top"/>
          </w:tcPr>
          <w:p w14:paraId="29CB3EFC">
            <w:pPr>
              <w:rPr>
                <w:rFonts w:ascii="Arial"/>
                <w:sz w:val="21"/>
                <w:highlight w:val="none"/>
              </w:rPr>
            </w:pPr>
          </w:p>
        </w:tc>
      </w:tr>
      <w:tr w14:paraId="789DD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22F1593B">
            <w:pPr>
              <w:rPr>
                <w:rFonts w:ascii="Arial"/>
                <w:sz w:val="21"/>
                <w:highlight w:val="none"/>
              </w:rPr>
            </w:pPr>
          </w:p>
        </w:tc>
        <w:tc>
          <w:tcPr>
            <w:tcW w:w="682" w:type="dxa"/>
            <w:vMerge w:val="continue"/>
            <w:tcBorders>
              <w:top w:val="nil"/>
              <w:bottom w:val="nil"/>
            </w:tcBorders>
            <w:vAlign w:val="top"/>
          </w:tcPr>
          <w:p w14:paraId="00B2AE26">
            <w:pPr>
              <w:rPr>
                <w:rFonts w:ascii="Arial"/>
                <w:sz w:val="21"/>
                <w:highlight w:val="none"/>
              </w:rPr>
            </w:pPr>
          </w:p>
        </w:tc>
        <w:tc>
          <w:tcPr>
            <w:tcW w:w="1649" w:type="dxa"/>
            <w:vMerge w:val="continue"/>
            <w:tcBorders>
              <w:top w:val="nil"/>
              <w:bottom w:val="nil"/>
            </w:tcBorders>
            <w:vAlign w:val="top"/>
          </w:tcPr>
          <w:p w14:paraId="2A645A03">
            <w:pPr>
              <w:rPr>
                <w:rFonts w:ascii="Arial"/>
                <w:sz w:val="21"/>
                <w:highlight w:val="none"/>
              </w:rPr>
            </w:pPr>
          </w:p>
        </w:tc>
        <w:tc>
          <w:tcPr>
            <w:tcW w:w="1622" w:type="dxa"/>
            <w:vMerge w:val="continue"/>
            <w:tcBorders>
              <w:top w:val="nil"/>
            </w:tcBorders>
            <w:vAlign w:val="top"/>
          </w:tcPr>
          <w:p w14:paraId="3A7425EA">
            <w:pPr>
              <w:rPr>
                <w:rFonts w:ascii="Arial"/>
                <w:sz w:val="21"/>
                <w:highlight w:val="none"/>
              </w:rPr>
            </w:pPr>
          </w:p>
        </w:tc>
        <w:tc>
          <w:tcPr>
            <w:tcW w:w="1785" w:type="dxa"/>
            <w:vAlign w:val="top"/>
          </w:tcPr>
          <w:p w14:paraId="4D7324BB">
            <w:pPr>
              <w:pStyle w:val="7"/>
              <w:spacing w:before="56" w:line="219" w:lineRule="auto"/>
              <w:ind w:left="118"/>
              <w:rPr>
                <w:sz w:val="22"/>
                <w:szCs w:val="22"/>
                <w:highlight w:val="none"/>
              </w:rPr>
            </w:pPr>
            <w:r>
              <w:rPr>
                <w:spacing w:val="-3"/>
                <w:sz w:val="22"/>
                <w:szCs w:val="22"/>
                <w:highlight w:val="none"/>
              </w:rPr>
              <w:t>（不含型材）</w:t>
            </w:r>
          </w:p>
        </w:tc>
        <w:tc>
          <w:tcPr>
            <w:tcW w:w="1471" w:type="dxa"/>
            <w:vAlign w:val="top"/>
          </w:tcPr>
          <w:p w14:paraId="3D0EE593">
            <w:pPr>
              <w:pStyle w:val="7"/>
              <w:spacing w:before="55" w:line="225" w:lineRule="auto"/>
              <w:ind w:left="685"/>
              <w:rPr>
                <w:sz w:val="22"/>
                <w:szCs w:val="22"/>
                <w:highlight w:val="none"/>
              </w:rPr>
            </w:pPr>
            <w:r>
              <w:rPr>
                <w:sz w:val="22"/>
                <w:szCs w:val="22"/>
                <w:highlight w:val="none"/>
              </w:rPr>
              <w:t>/</w:t>
            </w:r>
          </w:p>
        </w:tc>
        <w:tc>
          <w:tcPr>
            <w:tcW w:w="1268" w:type="dxa"/>
            <w:vAlign w:val="top"/>
          </w:tcPr>
          <w:p w14:paraId="13773B89">
            <w:pPr>
              <w:pStyle w:val="7"/>
              <w:spacing w:before="55" w:line="221" w:lineRule="auto"/>
              <w:ind w:left="191"/>
              <w:rPr>
                <w:sz w:val="22"/>
                <w:szCs w:val="22"/>
                <w:highlight w:val="none"/>
              </w:rPr>
            </w:pPr>
            <w:r>
              <w:rPr>
                <w:spacing w:val="-6"/>
                <w:sz w:val="22"/>
                <w:szCs w:val="22"/>
                <w:highlight w:val="none"/>
              </w:rPr>
              <w:t>160</w:t>
            </w:r>
            <w:r>
              <w:rPr>
                <w:spacing w:val="-45"/>
                <w:sz w:val="22"/>
                <w:szCs w:val="22"/>
                <w:highlight w:val="none"/>
              </w:rPr>
              <w:t xml:space="preserve"> </w:t>
            </w:r>
            <w:r>
              <w:rPr>
                <w:spacing w:val="-6"/>
                <w:sz w:val="22"/>
                <w:szCs w:val="22"/>
                <w:highlight w:val="none"/>
              </w:rPr>
              <w:t>元/㎡</w:t>
            </w:r>
          </w:p>
        </w:tc>
        <w:tc>
          <w:tcPr>
            <w:tcW w:w="600" w:type="dxa"/>
            <w:vAlign w:val="top"/>
          </w:tcPr>
          <w:p w14:paraId="2ABAA0BC">
            <w:pPr>
              <w:rPr>
                <w:rFonts w:ascii="Arial"/>
                <w:sz w:val="21"/>
                <w:highlight w:val="none"/>
              </w:rPr>
            </w:pPr>
          </w:p>
        </w:tc>
      </w:tr>
      <w:tr w14:paraId="5295A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15233F9F">
            <w:pPr>
              <w:rPr>
                <w:rFonts w:ascii="Arial"/>
                <w:sz w:val="21"/>
                <w:highlight w:val="none"/>
              </w:rPr>
            </w:pPr>
          </w:p>
        </w:tc>
        <w:tc>
          <w:tcPr>
            <w:tcW w:w="682" w:type="dxa"/>
            <w:vMerge w:val="continue"/>
            <w:tcBorders>
              <w:top w:val="nil"/>
              <w:bottom w:val="nil"/>
            </w:tcBorders>
            <w:vAlign w:val="top"/>
          </w:tcPr>
          <w:p w14:paraId="47E4071E">
            <w:pPr>
              <w:rPr>
                <w:rFonts w:ascii="Arial"/>
                <w:sz w:val="21"/>
                <w:highlight w:val="none"/>
              </w:rPr>
            </w:pPr>
          </w:p>
        </w:tc>
        <w:tc>
          <w:tcPr>
            <w:tcW w:w="1649" w:type="dxa"/>
            <w:vMerge w:val="continue"/>
            <w:tcBorders>
              <w:top w:val="nil"/>
              <w:bottom w:val="nil"/>
            </w:tcBorders>
            <w:vAlign w:val="top"/>
          </w:tcPr>
          <w:p w14:paraId="0504C700">
            <w:pPr>
              <w:rPr>
                <w:rFonts w:ascii="Arial"/>
                <w:sz w:val="21"/>
                <w:highlight w:val="none"/>
              </w:rPr>
            </w:pPr>
          </w:p>
        </w:tc>
        <w:tc>
          <w:tcPr>
            <w:tcW w:w="1622" w:type="dxa"/>
            <w:vMerge w:val="restart"/>
            <w:tcBorders>
              <w:bottom w:val="nil"/>
            </w:tcBorders>
            <w:vAlign w:val="top"/>
          </w:tcPr>
          <w:p w14:paraId="50A672DD">
            <w:pPr>
              <w:pStyle w:val="7"/>
              <w:spacing w:before="224" w:line="221" w:lineRule="auto"/>
              <w:ind w:left="184"/>
              <w:rPr>
                <w:sz w:val="22"/>
                <w:szCs w:val="22"/>
                <w:highlight w:val="none"/>
              </w:rPr>
            </w:pPr>
            <w:r>
              <w:rPr>
                <w:spacing w:val="-4"/>
                <w:sz w:val="22"/>
                <w:szCs w:val="22"/>
                <w:highlight w:val="none"/>
              </w:rPr>
              <w:t>8</w:t>
            </w:r>
            <w:r>
              <w:rPr>
                <w:spacing w:val="-40"/>
                <w:sz w:val="22"/>
                <w:szCs w:val="22"/>
                <w:highlight w:val="none"/>
              </w:rPr>
              <w:t xml:space="preserve"> </w:t>
            </w:r>
            <w:r>
              <w:rPr>
                <w:spacing w:val="-4"/>
                <w:sz w:val="22"/>
                <w:szCs w:val="22"/>
                <w:highlight w:val="none"/>
              </w:rPr>
              <w:t>厚钢化玻璃</w:t>
            </w:r>
          </w:p>
        </w:tc>
        <w:tc>
          <w:tcPr>
            <w:tcW w:w="1785" w:type="dxa"/>
            <w:vAlign w:val="top"/>
          </w:tcPr>
          <w:p w14:paraId="683A9C5C">
            <w:pPr>
              <w:pStyle w:val="7"/>
              <w:spacing w:before="54" w:line="220" w:lineRule="auto"/>
              <w:ind w:left="116"/>
              <w:rPr>
                <w:sz w:val="22"/>
                <w:szCs w:val="22"/>
                <w:highlight w:val="none"/>
              </w:rPr>
            </w:pPr>
            <w:r>
              <w:rPr>
                <w:spacing w:val="-4"/>
                <w:sz w:val="22"/>
                <w:szCs w:val="22"/>
                <w:highlight w:val="none"/>
              </w:rPr>
              <w:t>塑钢门框</w:t>
            </w:r>
          </w:p>
        </w:tc>
        <w:tc>
          <w:tcPr>
            <w:tcW w:w="1471" w:type="dxa"/>
            <w:vAlign w:val="top"/>
          </w:tcPr>
          <w:p w14:paraId="5F96F728">
            <w:pPr>
              <w:pStyle w:val="7"/>
              <w:spacing w:before="54" w:line="225" w:lineRule="auto"/>
              <w:ind w:left="685"/>
              <w:rPr>
                <w:sz w:val="22"/>
                <w:szCs w:val="22"/>
                <w:highlight w:val="none"/>
              </w:rPr>
            </w:pPr>
            <w:r>
              <w:rPr>
                <w:sz w:val="22"/>
                <w:szCs w:val="22"/>
                <w:highlight w:val="none"/>
              </w:rPr>
              <w:t>/</w:t>
            </w:r>
          </w:p>
        </w:tc>
        <w:tc>
          <w:tcPr>
            <w:tcW w:w="1268" w:type="dxa"/>
            <w:vAlign w:val="top"/>
          </w:tcPr>
          <w:p w14:paraId="7291B7A8">
            <w:pPr>
              <w:pStyle w:val="7"/>
              <w:spacing w:before="53" w:line="221" w:lineRule="auto"/>
              <w:ind w:left="179"/>
              <w:rPr>
                <w:sz w:val="22"/>
                <w:szCs w:val="22"/>
                <w:highlight w:val="none"/>
              </w:rPr>
            </w:pPr>
            <w:r>
              <w:rPr>
                <w:spacing w:val="-4"/>
                <w:sz w:val="22"/>
                <w:szCs w:val="22"/>
                <w:highlight w:val="none"/>
              </w:rPr>
              <w:t>300</w:t>
            </w:r>
            <w:r>
              <w:rPr>
                <w:spacing w:val="-45"/>
                <w:sz w:val="22"/>
                <w:szCs w:val="22"/>
                <w:highlight w:val="none"/>
              </w:rPr>
              <w:t xml:space="preserve"> </w:t>
            </w:r>
            <w:r>
              <w:rPr>
                <w:spacing w:val="-4"/>
                <w:sz w:val="22"/>
                <w:szCs w:val="22"/>
                <w:highlight w:val="none"/>
              </w:rPr>
              <w:t>元/㎡</w:t>
            </w:r>
          </w:p>
        </w:tc>
        <w:tc>
          <w:tcPr>
            <w:tcW w:w="600" w:type="dxa"/>
            <w:vAlign w:val="top"/>
          </w:tcPr>
          <w:p w14:paraId="68048E1C">
            <w:pPr>
              <w:rPr>
                <w:rFonts w:ascii="Arial"/>
                <w:sz w:val="21"/>
                <w:highlight w:val="none"/>
              </w:rPr>
            </w:pPr>
          </w:p>
        </w:tc>
      </w:tr>
      <w:tr w14:paraId="5E0B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1BF74468">
            <w:pPr>
              <w:rPr>
                <w:rFonts w:ascii="Arial"/>
                <w:sz w:val="21"/>
                <w:highlight w:val="none"/>
              </w:rPr>
            </w:pPr>
          </w:p>
        </w:tc>
        <w:tc>
          <w:tcPr>
            <w:tcW w:w="682" w:type="dxa"/>
            <w:vMerge w:val="continue"/>
            <w:tcBorders>
              <w:top w:val="nil"/>
              <w:bottom w:val="nil"/>
            </w:tcBorders>
            <w:vAlign w:val="top"/>
          </w:tcPr>
          <w:p w14:paraId="7C7C5411">
            <w:pPr>
              <w:rPr>
                <w:rFonts w:ascii="Arial"/>
                <w:sz w:val="21"/>
                <w:highlight w:val="none"/>
              </w:rPr>
            </w:pPr>
          </w:p>
        </w:tc>
        <w:tc>
          <w:tcPr>
            <w:tcW w:w="1649" w:type="dxa"/>
            <w:vMerge w:val="continue"/>
            <w:tcBorders>
              <w:top w:val="nil"/>
            </w:tcBorders>
            <w:vAlign w:val="top"/>
          </w:tcPr>
          <w:p w14:paraId="295C6DC4">
            <w:pPr>
              <w:rPr>
                <w:rFonts w:ascii="Arial"/>
                <w:sz w:val="21"/>
                <w:highlight w:val="none"/>
              </w:rPr>
            </w:pPr>
          </w:p>
        </w:tc>
        <w:tc>
          <w:tcPr>
            <w:tcW w:w="1622" w:type="dxa"/>
            <w:vMerge w:val="continue"/>
            <w:tcBorders>
              <w:top w:val="nil"/>
            </w:tcBorders>
            <w:vAlign w:val="top"/>
          </w:tcPr>
          <w:p w14:paraId="2A89319E">
            <w:pPr>
              <w:rPr>
                <w:rFonts w:ascii="Arial"/>
                <w:sz w:val="21"/>
                <w:highlight w:val="none"/>
              </w:rPr>
            </w:pPr>
          </w:p>
        </w:tc>
        <w:tc>
          <w:tcPr>
            <w:tcW w:w="1785" w:type="dxa"/>
            <w:vAlign w:val="top"/>
          </w:tcPr>
          <w:p w14:paraId="6F73E8A7">
            <w:pPr>
              <w:pStyle w:val="7"/>
              <w:spacing w:before="55" w:line="219" w:lineRule="auto"/>
              <w:ind w:left="118"/>
              <w:rPr>
                <w:sz w:val="22"/>
                <w:szCs w:val="22"/>
                <w:highlight w:val="none"/>
              </w:rPr>
            </w:pPr>
            <w:r>
              <w:rPr>
                <w:spacing w:val="-3"/>
                <w:sz w:val="22"/>
                <w:szCs w:val="22"/>
                <w:highlight w:val="none"/>
              </w:rPr>
              <w:t>（不含型材）</w:t>
            </w:r>
          </w:p>
        </w:tc>
        <w:tc>
          <w:tcPr>
            <w:tcW w:w="1471" w:type="dxa"/>
            <w:vAlign w:val="top"/>
          </w:tcPr>
          <w:p w14:paraId="1FE551CC">
            <w:pPr>
              <w:pStyle w:val="7"/>
              <w:spacing w:before="55" w:line="225" w:lineRule="auto"/>
              <w:ind w:left="685"/>
              <w:rPr>
                <w:sz w:val="22"/>
                <w:szCs w:val="22"/>
                <w:highlight w:val="none"/>
              </w:rPr>
            </w:pPr>
            <w:r>
              <w:rPr>
                <w:sz w:val="22"/>
                <w:szCs w:val="22"/>
                <w:highlight w:val="none"/>
              </w:rPr>
              <w:t>/</w:t>
            </w:r>
          </w:p>
        </w:tc>
        <w:tc>
          <w:tcPr>
            <w:tcW w:w="1268" w:type="dxa"/>
            <w:vAlign w:val="top"/>
          </w:tcPr>
          <w:p w14:paraId="557FBEBC">
            <w:pPr>
              <w:pStyle w:val="7"/>
              <w:spacing w:before="54" w:line="221" w:lineRule="auto"/>
              <w:ind w:left="191"/>
              <w:rPr>
                <w:sz w:val="22"/>
                <w:szCs w:val="22"/>
                <w:highlight w:val="none"/>
              </w:rPr>
            </w:pPr>
            <w:r>
              <w:rPr>
                <w:spacing w:val="-6"/>
                <w:sz w:val="22"/>
                <w:szCs w:val="22"/>
                <w:highlight w:val="none"/>
              </w:rPr>
              <w:t>160</w:t>
            </w:r>
            <w:r>
              <w:rPr>
                <w:spacing w:val="-45"/>
                <w:sz w:val="22"/>
                <w:szCs w:val="22"/>
                <w:highlight w:val="none"/>
              </w:rPr>
              <w:t xml:space="preserve"> </w:t>
            </w:r>
            <w:r>
              <w:rPr>
                <w:spacing w:val="-6"/>
                <w:sz w:val="22"/>
                <w:szCs w:val="22"/>
                <w:highlight w:val="none"/>
              </w:rPr>
              <w:t>元/㎡</w:t>
            </w:r>
          </w:p>
        </w:tc>
        <w:tc>
          <w:tcPr>
            <w:tcW w:w="600" w:type="dxa"/>
            <w:vAlign w:val="top"/>
          </w:tcPr>
          <w:p w14:paraId="050410A1">
            <w:pPr>
              <w:rPr>
                <w:rFonts w:ascii="Arial"/>
                <w:sz w:val="21"/>
                <w:highlight w:val="none"/>
              </w:rPr>
            </w:pPr>
          </w:p>
        </w:tc>
      </w:tr>
      <w:tr w14:paraId="3822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69" w:type="dxa"/>
            <w:vMerge w:val="continue"/>
            <w:tcBorders>
              <w:top w:val="nil"/>
              <w:bottom w:val="nil"/>
            </w:tcBorders>
            <w:vAlign w:val="top"/>
          </w:tcPr>
          <w:p w14:paraId="3021B5F2">
            <w:pPr>
              <w:rPr>
                <w:rFonts w:ascii="Arial"/>
                <w:sz w:val="21"/>
                <w:highlight w:val="none"/>
              </w:rPr>
            </w:pPr>
          </w:p>
        </w:tc>
        <w:tc>
          <w:tcPr>
            <w:tcW w:w="682" w:type="dxa"/>
            <w:vMerge w:val="continue"/>
            <w:tcBorders>
              <w:top w:val="nil"/>
              <w:bottom w:val="nil"/>
            </w:tcBorders>
            <w:vAlign w:val="top"/>
          </w:tcPr>
          <w:p w14:paraId="03A918D8">
            <w:pPr>
              <w:rPr>
                <w:rFonts w:ascii="Arial"/>
                <w:sz w:val="21"/>
                <w:highlight w:val="none"/>
              </w:rPr>
            </w:pPr>
          </w:p>
        </w:tc>
        <w:tc>
          <w:tcPr>
            <w:tcW w:w="1649" w:type="dxa"/>
            <w:vMerge w:val="restart"/>
            <w:tcBorders>
              <w:bottom w:val="nil"/>
            </w:tcBorders>
            <w:vAlign w:val="top"/>
          </w:tcPr>
          <w:p w14:paraId="082B3E5F">
            <w:pPr>
              <w:spacing w:line="328" w:lineRule="auto"/>
              <w:rPr>
                <w:rFonts w:ascii="Arial"/>
                <w:sz w:val="21"/>
                <w:highlight w:val="none"/>
              </w:rPr>
            </w:pPr>
          </w:p>
          <w:p w14:paraId="2A311426">
            <w:pPr>
              <w:spacing w:line="329" w:lineRule="auto"/>
              <w:rPr>
                <w:rFonts w:ascii="Arial"/>
                <w:sz w:val="21"/>
                <w:highlight w:val="none"/>
              </w:rPr>
            </w:pPr>
          </w:p>
          <w:p w14:paraId="348DBEFF">
            <w:pPr>
              <w:pStyle w:val="7"/>
              <w:spacing w:before="71" w:line="219" w:lineRule="auto"/>
              <w:ind w:left="498"/>
              <w:rPr>
                <w:sz w:val="22"/>
                <w:szCs w:val="22"/>
                <w:highlight w:val="none"/>
              </w:rPr>
            </w:pPr>
            <w:r>
              <w:rPr>
                <w:spacing w:val="-3"/>
                <w:sz w:val="22"/>
                <w:szCs w:val="22"/>
                <w:highlight w:val="none"/>
              </w:rPr>
              <w:t>地弹门</w:t>
            </w:r>
          </w:p>
        </w:tc>
        <w:tc>
          <w:tcPr>
            <w:tcW w:w="1622" w:type="dxa"/>
            <w:vMerge w:val="restart"/>
            <w:tcBorders>
              <w:bottom w:val="nil"/>
            </w:tcBorders>
            <w:vAlign w:val="top"/>
          </w:tcPr>
          <w:p w14:paraId="0CC50F4E">
            <w:pPr>
              <w:pStyle w:val="7"/>
              <w:spacing w:before="249" w:line="231" w:lineRule="auto"/>
              <w:ind w:left="591" w:right="121" w:hanging="450"/>
              <w:rPr>
                <w:sz w:val="22"/>
                <w:szCs w:val="22"/>
                <w:highlight w:val="none"/>
              </w:rPr>
            </w:pPr>
            <w:r>
              <w:rPr>
                <w:spacing w:val="-3"/>
                <w:sz w:val="22"/>
                <w:szCs w:val="22"/>
                <w:highlight w:val="none"/>
              </w:rPr>
              <w:t>low-e6+9+6</w:t>
            </w:r>
            <w:r>
              <w:rPr>
                <w:spacing w:val="-45"/>
                <w:sz w:val="22"/>
                <w:szCs w:val="22"/>
                <w:highlight w:val="none"/>
              </w:rPr>
              <w:t xml:space="preserve"> </w:t>
            </w:r>
            <w:r>
              <w:rPr>
                <w:spacing w:val="-3"/>
                <w:sz w:val="22"/>
                <w:szCs w:val="22"/>
                <w:highlight w:val="none"/>
              </w:rPr>
              <w:t>双</w:t>
            </w:r>
            <w:r>
              <w:rPr>
                <w:sz w:val="22"/>
                <w:szCs w:val="22"/>
                <w:highlight w:val="none"/>
              </w:rPr>
              <w:t xml:space="preserve"> </w:t>
            </w:r>
            <w:r>
              <w:rPr>
                <w:spacing w:val="-3"/>
                <w:sz w:val="22"/>
                <w:szCs w:val="22"/>
                <w:highlight w:val="none"/>
              </w:rPr>
              <w:t>钢化</w:t>
            </w:r>
          </w:p>
        </w:tc>
        <w:tc>
          <w:tcPr>
            <w:tcW w:w="1785" w:type="dxa"/>
            <w:vAlign w:val="top"/>
          </w:tcPr>
          <w:p w14:paraId="6C41E462">
            <w:pPr>
              <w:pStyle w:val="7"/>
              <w:spacing w:before="66" w:line="232" w:lineRule="auto"/>
              <w:ind w:left="113" w:right="188" w:firstLine="15"/>
              <w:rPr>
                <w:sz w:val="22"/>
                <w:szCs w:val="22"/>
                <w:highlight w:val="none"/>
              </w:rPr>
            </w:pPr>
            <w:r>
              <w:rPr>
                <w:spacing w:val="-4"/>
                <w:sz w:val="22"/>
                <w:szCs w:val="22"/>
                <w:highlight w:val="none"/>
              </w:rPr>
              <w:t>100X44 46</w:t>
            </w:r>
            <w:r>
              <w:rPr>
                <w:spacing w:val="-34"/>
                <w:sz w:val="22"/>
                <w:szCs w:val="22"/>
                <w:highlight w:val="none"/>
              </w:rPr>
              <w:t xml:space="preserve"> </w:t>
            </w:r>
            <w:r>
              <w:rPr>
                <w:spacing w:val="-4"/>
                <w:sz w:val="22"/>
                <w:szCs w:val="22"/>
                <w:highlight w:val="none"/>
              </w:rPr>
              <w:t>系列</w:t>
            </w:r>
            <w:r>
              <w:rPr>
                <w:sz w:val="22"/>
                <w:szCs w:val="22"/>
                <w:highlight w:val="none"/>
              </w:rPr>
              <w:t xml:space="preserve"> </w:t>
            </w:r>
            <w:r>
              <w:rPr>
                <w:spacing w:val="-3"/>
                <w:sz w:val="22"/>
                <w:szCs w:val="22"/>
                <w:highlight w:val="none"/>
              </w:rPr>
              <w:t>铝合金</w:t>
            </w:r>
          </w:p>
        </w:tc>
        <w:tc>
          <w:tcPr>
            <w:tcW w:w="1471" w:type="dxa"/>
            <w:vAlign w:val="top"/>
          </w:tcPr>
          <w:p w14:paraId="717B846A">
            <w:pPr>
              <w:pStyle w:val="7"/>
              <w:spacing w:before="209" w:line="225" w:lineRule="auto"/>
              <w:ind w:left="685"/>
              <w:rPr>
                <w:sz w:val="22"/>
                <w:szCs w:val="22"/>
                <w:highlight w:val="none"/>
              </w:rPr>
            </w:pPr>
            <w:r>
              <w:rPr>
                <w:sz w:val="22"/>
                <w:szCs w:val="22"/>
                <w:highlight w:val="none"/>
              </w:rPr>
              <w:t>/</w:t>
            </w:r>
          </w:p>
        </w:tc>
        <w:tc>
          <w:tcPr>
            <w:tcW w:w="1268" w:type="dxa"/>
            <w:vAlign w:val="top"/>
          </w:tcPr>
          <w:p w14:paraId="70BEA64C">
            <w:pPr>
              <w:pStyle w:val="7"/>
              <w:spacing w:before="209" w:line="221" w:lineRule="auto"/>
              <w:ind w:left="174"/>
              <w:rPr>
                <w:sz w:val="22"/>
                <w:szCs w:val="22"/>
                <w:highlight w:val="none"/>
              </w:rPr>
            </w:pPr>
            <w:r>
              <w:rPr>
                <w:spacing w:val="-3"/>
                <w:sz w:val="22"/>
                <w:szCs w:val="22"/>
                <w:highlight w:val="none"/>
              </w:rPr>
              <w:t>400</w:t>
            </w:r>
            <w:r>
              <w:rPr>
                <w:spacing w:val="-46"/>
                <w:sz w:val="22"/>
                <w:szCs w:val="22"/>
                <w:highlight w:val="none"/>
              </w:rPr>
              <w:t xml:space="preserve"> </w:t>
            </w:r>
            <w:r>
              <w:rPr>
                <w:spacing w:val="-3"/>
                <w:sz w:val="22"/>
                <w:szCs w:val="22"/>
                <w:highlight w:val="none"/>
              </w:rPr>
              <w:t>元/㎡</w:t>
            </w:r>
          </w:p>
        </w:tc>
        <w:tc>
          <w:tcPr>
            <w:tcW w:w="600" w:type="dxa"/>
            <w:vAlign w:val="top"/>
          </w:tcPr>
          <w:p w14:paraId="0DD8FC4B">
            <w:pPr>
              <w:rPr>
                <w:rFonts w:ascii="Arial"/>
                <w:sz w:val="21"/>
                <w:highlight w:val="none"/>
              </w:rPr>
            </w:pPr>
          </w:p>
        </w:tc>
      </w:tr>
      <w:tr w14:paraId="743F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69" w:type="dxa"/>
            <w:vMerge w:val="continue"/>
            <w:tcBorders>
              <w:top w:val="nil"/>
              <w:bottom w:val="nil"/>
            </w:tcBorders>
            <w:vAlign w:val="top"/>
          </w:tcPr>
          <w:p w14:paraId="4C61F059">
            <w:pPr>
              <w:rPr>
                <w:rFonts w:ascii="Arial"/>
                <w:sz w:val="21"/>
                <w:highlight w:val="none"/>
              </w:rPr>
            </w:pPr>
          </w:p>
        </w:tc>
        <w:tc>
          <w:tcPr>
            <w:tcW w:w="682" w:type="dxa"/>
            <w:vMerge w:val="continue"/>
            <w:tcBorders>
              <w:top w:val="nil"/>
              <w:bottom w:val="nil"/>
            </w:tcBorders>
            <w:vAlign w:val="top"/>
          </w:tcPr>
          <w:p w14:paraId="385A306F">
            <w:pPr>
              <w:rPr>
                <w:rFonts w:ascii="Arial"/>
                <w:sz w:val="21"/>
                <w:highlight w:val="none"/>
              </w:rPr>
            </w:pPr>
          </w:p>
        </w:tc>
        <w:tc>
          <w:tcPr>
            <w:tcW w:w="1649" w:type="dxa"/>
            <w:vMerge w:val="continue"/>
            <w:tcBorders>
              <w:top w:val="nil"/>
              <w:bottom w:val="nil"/>
            </w:tcBorders>
            <w:vAlign w:val="top"/>
          </w:tcPr>
          <w:p w14:paraId="3B7B52C3">
            <w:pPr>
              <w:rPr>
                <w:rFonts w:ascii="Arial"/>
                <w:sz w:val="21"/>
                <w:highlight w:val="none"/>
              </w:rPr>
            </w:pPr>
          </w:p>
        </w:tc>
        <w:tc>
          <w:tcPr>
            <w:tcW w:w="1622" w:type="dxa"/>
            <w:vMerge w:val="continue"/>
            <w:tcBorders>
              <w:top w:val="nil"/>
            </w:tcBorders>
            <w:vAlign w:val="top"/>
          </w:tcPr>
          <w:p w14:paraId="63421696">
            <w:pPr>
              <w:rPr>
                <w:rFonts w:ascii="Arial"/>
                <w:sz w:val="21"/>
                <w:highlight w:val="none"/>
              </w:rPr>
            </w:pPr>
          </w:p>
        </w:tc>
        <w:tc>
          <w:tcPr>
            <w:tcW w:w="1785" w:type="dxa"/>
            <w:vAlign w:val="top"/>
          </w:tcPr>
          <w:p w14:paraId="6172FF43">
            <w:pPr>
              <w:pStyle w:val="7"/>
              <w:spacing w:before="70" w:line="219" w:lineRule="auto"/>
              <w:ind w:left="118"/>
              <w:rPr>
                <w:sz w:val="22"/>
                <w:szCs w:val="22"/>
                <w:highlight w:val="none"/>
              </w:rPr>
            </w:pPr>
            <w:r>
              <w:rPr>
                <w:spacing w:val="-3"/>
                <w:sz w:val="22"/>
                <w:szCs w:val="22"/>
                <w:highlight w:val="none"/>
              </w:rPr>
              <w:t>（不含型材）</w:t>
            </w:r>
          </w:p>
        </w:tc>
        <w:tc>
          <w:tcPr>
            <w:tcW w:w="1471" w:type="dxa"/>
            <w:vAlign w:val="top"/>
          </w:tcPr>
          <w:p w14:paraId="61FD629D">
            <w:pPr>
              <w:pStyle w:val="7"/>
              <w:spacing w:before="70" w:line="225" w:lineRule="auto"/>
              <w:ind w:left="685"/>
              <w:rPr>
                <w:sz w:val="22"/>
                <w:szCs w:val="22"/>
                <w:highlight w:val="none"/>
              </w:rPr>
            </w:pPr>
            <w:r>
              <w:rPr>
                <w:sz w:val="22"/>
                <w:szCs w:val="22"/>
                <w:highlight w:val="none"/>
              </w:rPr>
              <w:t>/</w:t>
            </w:r>
          </w:p>
        </w:tc>
        <w:tc>
          <w:tcPr>
            <w:tcW w:w="1268" w:type="dxa"/>
            <w:vAlign w:val="top"/>
          </w:tcPr>
          <w:p w14:paraId="2AEA8C22">
            <w:pPr>
              <w:pStyle w:val="7"/>
              <w:spacing w:before="69" w:line="221" w:lineRule="auto"/>
              <w:ind w:left="178"/>
              <w:rPr>
                <w:sz w:val="22"/>
                <w:szCs w:val="22"/>
                <w:highlight w:val="none"/>
              </w:rPr>
            </w:pPr>
            <w:r>
              <w:rPr>
                <w:spacing w:val="-4"/>
                <w:sz w:val="22"/>
                <w:szCs w:val="22"/>
                <w:highlight w:val="none"/>
              </w:rPr>
              <w:t>260</w:t>
            </w:r>
            <w:r>
              <w:rPr>
                <w:spacing w:val="-43"/>
                <w:sz w:val="22"/>
                <w:szCs w:val="22"/>
                <w:highlight w:val="none"/>
              </w:rPr>
              <w:t xml:space="preserve"> </w:t>
            </w:r>
            <w:r>
              <w:rPr>
                <w:spacing w:val="-4"/>
                <w:sz w:val="22"/>
                <w:szCs w:val="22"/>
                <w:highlight w:val="none"/>
              </w:rPr>
              <w:t>元/㎡</w:t>
            </w:r>
          </w:p>
        </w:tc>
        <w:tc>
          <w:tcPr>
            <w:tcW w:w="600" w:type="dxa"/>
            <w:vAlign w:val="top"/>
          </w:tcPr>
          <w:p w14:paraId="6F0112A5">
            <w:pPr>
              <w:rPr>
                <w:rFonts w:ascii="Arial"/>
                <w:sz w:val="21"/>
                <w:highlight w:val="none"/>
              </w:rPr>
            </w:pPr>
          </w:p>
        </w:tc>
      </w:tr>
      <w:tr w14:paraId="0AF5D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C1A8288">
            <w:pPr>
              <w:rPr>
                <w:rFonts w:ascii="Arial"/>
                <w:sz w:val="21"/>
                <w:highlight w:val="none"/>
              </w:rPr>
            </w:pPr>
          </w:p>
        </w:tc>
        <w:tc>
          <w:tcPr>
            <w:tcW w:w="682" w:type="dxa"/>
            <w:vMerge w:val="continue"/>
            <w:tcBorders>
              <w:top w:val="nil"/>
              <w:bottom w:val="nil"/>
            </w:tcBorders>
            <w:vAlign w:val="top"/>
          </w:tcPr>
          <w:p w14:paraId="40693FF8">
            <w:pPr>
              <w:rPr>
                <w:rFonts w:ascii="Arial"/>
                <w:sz w:val="21"/>
                <w:highlight w:val="none"/>
              </w:rPr>
            </w:pPr>
          </w:p>
        </w:tc>
        <w:tc>
          <w:tcPr>
            <w:tcW w:w="1649" w:type="dxa"/>
            <w:vMerge w:val="continue"/>
            <w:tcBorders>
              <w:top w:val="nil"/>
              <w:bottom w:val="nil"/>
            </w:tcBorders>
            <w:vAlign w:val="top"/>
          </w:tcPr>
          <w:p w14:paraId="0AADA0F6">
            <w:pPr>
              <w:rPr>
                <w:rFonts w:ascii="Arial"/>
                <w:sz w:val="21"/>
                <w:highlight w:val="none"/>
              </w:rPr>
            </w:pPr>
          </w:p>
        </w:tc>
        <w:tc>
          <w:tcPr>
            <w:tcW w:w="1622" w:type="dxa"/>
            <w:vAlign w:val="top"/>
          </w:tcPr>
          <w:p w14:paraId="643E6A89">
            <w:pPr>
              <w:pStyle w:val="7"/>
              <w:spacing w:before="57" w:line="219" w:lineRule="auto"/>
              <w:ind w:left="767"/>
              <w:rPr>
                <w:sz w:val="22"/>
                <w:szCs w:val="22"/>
                <w:highlight w:val="none"/>
              </w:rPr>
            </w:pPr>
            <w:r>
              <w:rPr>
                <w:sz w:val="22"/>
                <w:szCs w:val="22"/>
                <w:highlight w:val="none"/>
              </w:rPr>
              <w:t>\</w:t>
            </w:r>
          </w:p>
        </w:tc>
        <w:tc>
          <w:tcPr>
            <w:tcW w:w="1785" w:type="dxa"/>
            <w:vAlign w:val="top"/>
          </w:tcPr>
          <w:p w14:paraId="06076C79">
            <w:pPr>
              <w:pStyle w:val="7"/>
              <w:spacing w:before="57" w:line="221" w:lineRule="auto"/>
              <w:ind w:left="114"/>
              <w:rPr>
                <w:sz w:val="22"/>
                <w:szCs w:val="22"/>
                <w:highlight w:val="none"/>
              </w:rPr>
            </w:pPr>
            <w:r>
              <w:rPr>
                <w:spacing w:val="-2"/>
                <w:sz w:val="22"/>
                <w:szCs w:val="22"/>
                <w:highlight w:val="none"/>
              </w:rPr>
              <w:t>更换门拉手</w:t>
            </w:r>
          </w:p>
        </w:tc>
        <w:tc>
          <w:tcPr>
            <w:tcW w:w="1471" w:type="dxa"/>
            <w:vAlign w:val="top"/>
          </w:tcPr>
          <w:p w14:paraId="215A25F7">
            <w:pPr>
              <w:pStyle w:val="7"/>
              <w:spacing w:before="56" w:line="225" w:lineRule="auto"/>
              <w:ind w:left="685"/>
              <w:rPr>
                <w:sz w:val="22"/>
                <w:szCs w:val="22"/>
                <w:highlight w:val="none"/>
              </w:rPr>
            </w:pPr>
            <w:r>
              <w:rPr>
                <w:sz w:val="22"/>
                <w:szCs w:val="22"/>
                <w:highlight w:val="none"/>
              </w:rPr>
              <w:t>/</w:t>
            </w:r>
          </w:p>
        </w:tc>
        <w:tc>
          <w:tcPr>
            <w:tcW w:w="1268" w:type="dxa"/>
            <w:vAlign w:val="top"/>
          </w:tcPr>
          <w:p w14:paraId="41FA9936">
            <w:pPr>
              <w:pStyle w:val="7"/>
              <w:spacing w:before="57" w:line="220" w:lineRule="auto"/>
              <w:ind w:left="191"/>
              <w:rPr>
                <w:sz w:val="22"/>
                <w:szCs w:val="22"/>
                <w:highlight w:val="none"/>
              </w:rPr>
            </w:pPr>
            <w:r>
              <w:rPr>
                <w:spacing w:val="-6"/>
                <w:sz w:val="22"/>
                <w:szCs w:val="22"/>
                <w:highlight w:val="none"/>
              </w:rPr>
              <w:t>160</w:t>
            </w:r>
            <w:r>
              <w:rPr>
                <w:spacing w:val="-45"/>
                <w:sz w:val="22"/>
                <w:szCs w:val="22"/>
                <w:highlight w:val="none"/>
              </w:rPr>
              <w:t xml:space="preserve"> </w:t>
            </w:r>
            <w:r>
              <w:rPr>
                <w:spacing w:val="-6"/>
                <w:sz w:val="22"/>
                <w:szCs w:val="22"/>
                <w:highlight w:val="none"/>
              </w:rPr>
              <w:t>元/个</w:t>
            </w:r>
          </w:p>
        </w:tc>
        <w:tc>
          <w:tcPr>
            <w:tcW w:w="600" w:type="dxa"/>
            <w:vAlign w:val="top"/>
          </w:tcPr>
          <w:p w14:paraId="16698DC3">
            <w:pPr>
              <w:rPr>
                <w:rFonts w:ascii="Arial"/>
                <w:sz w:val="21"/>
                <w:highlight w:val="none"/>
              </w:rPr>
            </w:pPr>
          </w:p>
        </w:tc>
      </w:tr>
      <w:tr w14:paraId="5AF6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tcBorders>
            <w:vAlign w:val="top"/>
          </w:tcPr>
          <w:p w14:paraId="7A578E2C">
            <w:pPr>
              <w:rPr>
                <w:rFonts w:ascii="Arial"/>
                <w:sz w:val="21"/>
                <w:highlight w:val="none"/>
              </w:rPr>
            </w:pPr>
          </w:p>
        </w:tc>
        <w:tc>
          <w:tcPr>
            <w:tcW w:w="682" w:type="dxa"/>
            <w:vMerge w:val="continue"/>
            <w:tcBorders>
              <w:top w:val="nil"/>
            </w:tcBorders>
            <w:vAlign w:val="top"/>
          </w:tcPr>
          <w:p w14:paraId="53C0E90C">
            <w:pPr>
              <w:rPr>
                <w:rFonts w:ascii="Arial"/>
                <w:sz w:val="21"/>
                <w:highlight w:val="none"/>
              </w:rPr>
            </w:pPr>
          </w:p>
        </w:tc>
        <w:tc>
          <w:tcPr>
            <w:tcW w:w="1649" w:type="dxa"/>
            <w:vMerge w:val="continue"/>
            <w:tcBorders>
              <w:top w:val="nil"/>
            </w:tcBorders>
            <w:vAlign w:val="top"/>
          </w:tcPr>
          <w:p w14:paraId="7A0B6339">
            <w:pPr>
              <w:rPr>
                <w:rFonts w:ascii="Arial"/>
                <w:sz w:val="21"/>
                <w:highlight w:val="none"/>
              </w:rPr>
            </w:pPr>
          </w:p>
        </w:tc>
        <w:tc>
          <w:tcPr>
            <w:tcW w:w="1622" w:type="dxa"/>
            <w:vAlign w:val="top"/>
          </w:tcPr>
          <w:p w14:paraId="2629F38E">
            <w:pPr>
              <w:pStyle w:val="7"/>
              <w:spacing w:before="56" w:line="219" w:lineRule="auto"/>
              <w:ind w:left="767"/>
              <w:rPr>
                <w:sz w:val="22"/>
                <w:szCs w:val="22"/>
                <w:highlight w:val="none"/>
              </w:rPr>
            </w:pPr>
            <w:r>
              <w:rPr>
                <w:sz w:val="22"/>
                <w:szCs w:val="22"/>
                <w:highlight w:val="none"/>
              </w:rPr>
              <w:t>\</w:t>
            </w:r>
          </w:p>
        </w:tc>
        <w:tc>
          <w:tcPr>
            <w:tcW w:w="1785" w:type="dxa"/>
            <w:vAlign w:val="top"/>
          </w:tcPr>
          <w:p w14:paraId="3852DA0A">
            <w:pPr>
              <w:pStyle w:val="7"/>
              <w:spacing w:before="56" w:line="219" w:lineRule="auto"/>
              <w:ind w:left="114"/>
              <w:rPr>
                <w:sz w:val="22"/>
                <w:szCs w:val="22"/>
                <w:highlight w:val="none"/>
              </w:rPr>
            </w:pPr>
            <w:r>
              <w:rPr>
                <w:spacing w:val="-2"/>
                <w:sz w:val="22"/>
                <w:szCs w:val="22"/>
                <w:highlight w:val="none"/>
              </w:rPr>
              <w:t>更换地弹簧</w:t>
            </w:r>
          </w:p>
        </w:tc>
        <w:tc>
          <w:tcPr>
            <w:tcW w:w="1471" w:type="dxa"/>
            <w:vAlign w:val="top"/>
          </w:tcPr>
          <w:p w14:paraId="76DCE304">
            <w:pPr>
              <w:pStyle w:val="7"/>
              <w:spacing w:before="55" w:line="225" w:lineRule="auto"/>
              <w:ind w:left="685"/>
              <w:rPr>
                <w:sz w:val="22"/>
                <w:szCs w:val="22"/>
                <w:highlight w:val="none"/>
              </w:rPr>
            </w:pPr>
            <w:r>
              <w:rPr>
                <w:sz w:val="22"/>
                <w:szCs w:val="22"/>
                <w:highlight w:val="none"/>
              </w:rPr>
              <w:t>/</w:t>
            </w:r>
          </w:p>
        </w:tc>
        <w:tc>
          <w:tcPr>
            <w:tcW w:w="1268" w:type="dxa"/>
            <w:vAlign w:val="top"/>
          </w:tcPr>
          <w:p w14:paraId="3F0108CD">
            <w:pPr>
              <w:pStyle w:val="7"/>
              <w:spacing w:before="55" w:line="221" w:lineRule="auto"/>
              <w:ind w:left="179"/>
              <w:rPr>
                <w:sz w:val="22"/>
                <w:szCs w:val="22"/>
                <w:highlight w:val="none"/>
              </w:rPr>
            </w:pPr>
            <w:r>
              <w:rPr>
                <w:spacing w:val="-4"/>
                <w:sz w:val="22"/>
                <w:szCs w:val="22"/>
                <w:highlight w:val="none"/>
              </w:rPr>
              <w:t>300</w:t>
            </w:r>
            <w:r>
              <w:rPr>
                <w:spacing w:val="-45"/>
                <w:sz w:val="22"/>
                <w:szCs w:val="22"/>
                <w:highlight w:val="none"/>
              </w:rPr>
              <w:t xml:space="preserve"> </w:t>
            </w:r>
            <w:r>
              <w:rPr>
                <w:spacing w:val="-4"/>
                <w:sz w:val="22"/>
                <w:szCs w:val="22"/>
                <w:highlight w:val="none"/>
              </w:rPr>
              <w:t>元/扇</w:t>
            </w:r>
          </w:p>
        </w:tc>
        <w:tc>
          <w:tcPr>
            <w:tcW w:w="600" w:type="dxa"/>
            <w:vAlign w:val="top"/>
          </w:tcPr>
          <w:p w14:paraId="173ABC48">
            <w:pPr>
              <w:rPr>
                <w:rFonts w:ascii="Arial"/>
                <w:sz w:val="21"/>
                <w:highlight w:val="none"/>
              </w:rPr>
            </w:pPr>
          </w:p>
        </w:tc>
      </w:tr>
      <w:tr w14:paraId="03F1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restart"/>
            <w:tcBorders>
              <w:bottom w:val="nil"/>
            </w:tcBorders>
            <w:vAlign w:val="top"/>
          </w:tcPr>
          <w:p w14:paraId="2D2DB78D">
            <w:pPr>
              <w:spacing w:line="244" w:lineRule="auto"/>
              <w:rPr>
                <w:rFonts w:ascii="Arial"/>
                <w:sz w:val="21"/>
                <w:highlight w:val="none"/>
              </w:rPr>
            </w:pPr>
          </w:p>
          <w:p w14:paraId="2EE581E7">
            <w:pPr>
              <w:spacing w:line="244" w:lineRule="auto"/>
              <w:rPr>
                <w:rFonts w:ascii="Arial"/>
                <w:sz w:val="21"/>
                <w:highlight w:val="none"/>
              </w:rPr>
            </w:pPr>
          </w:p>
          <w:p w14:paraId="28463C02">
            <w:pPr>
              <w:spacing w:line="244" w:lineRule="auto"/>
              <w:rPr>
                <w:rFonts w:ascii="Arial"/>
                <w:sz w:val="21"/>
                <w:highlight w:val="none"/>
              </w:rPr>
            </w:pPr>
          </w:p>
          <w:p w14:paraId="60CCF822">
            <w:pPr>
              <w:spacing w:line="244" w:lineRule="auto"/>
              <w:rPr>
                <w:rFonts w:ascii="Arial"/>
                <w:sz w:val="21"/>
                <w:highlight w:val="none"/>
              </w:rPr>
            </w:pPr>
          </w:p>
          <w:p w14:paraId="4DAB6F57">
            <w:pPr>
              <w:spacing w:line="244" w:lineRule="auto"/>
              <w:rPr>
                <w:rFonts w:ascii="Arial"/>
                <w:sz w:val="21"/>
                <w:highlight w:val="none"/>
              </w:rPr>
            </w:pPr>
          </w:p>
          <w:p w14:paraId="43C8D60D">
            <w:pPr>
              <w:spacing w:line="244" w:lineRule="auto"/>
              <w:rPr>
                <w:rFonts w:ascii="Arial"/>
                <w:sz w:val="21"/>
                <w:highlight w:val="none"/>
              </w:rPr>
            </w:pPr>
          </w:p>
          <w:p w14:paraId="54E61979">
            <w:pPr>
              <w:spacing w:line="245" w:lineRule="auto"/>
              <w:rPr>
                <w:rFonts w:ascii="Arial"/>
                <w:sz w:val="21"/>
                <w:highlight w:val="none"/>
              </w:rPr>
            </w:pPr>
          </w:p>
          <w:p w14:paraId="611AAD7E">
            <w:pPr>
              <w:spacing w:line="245" w:lineRule="auto"/>
              <w:rPr>
                <w:rFonts w:ascii="Arial"/>
                <w:sz w:val="21"/>
                <w:highlight w:val="none"/>
              </w:rPr>
            </w:pPr>
          </w:p>
          <w:p w14:paraId="17AB4581">
            <w:pPr>
              <w:spacing w:line="245" w:lineRule="auto"/>
              <w:rPr>
                <w:rFonts w:ascii="Arial"/>
                <w:sz w:val="21"/>
                <w:highlight w:val="none"/>
              </w:rPr>
            </w:pPr>
          </w:p>
          <w:p w14:paraId="5BB60BF1">
            <w:pPr>
              <w:spacing w:line="245" w:lineRule="auto"/>
              <w:rPr>
                <w:rFonts w:ascii="Arial"/>
                <w:sz w:val="21"/>
                <w:highlight w:val="none"/>
              </w:rPr>
            </w:pPr>
          </w:p>
          <w:p w14:paraId="32D62475">
            <w:pPr>
              <w:spacing w:line="245" w:lineRule="auto"/>
              <w:rPr>
                <w:rFonts w:ascii="Arial"/>
                <w:sz w:val="21"/>
                <w:highlight w:val="none"/>
              </w:rPr>
            </w:pPr>
          </w:p>
          <w:p w14:paraId="6F011990">
            <w:pPr>
              <w:spacing w:line="245" w:lineRule="auto"/>
              <w:rPr>
                <w:rFonts w:ascii="Arial"/>
                <w:sz w:val="21"/>
                <w:highlight w:val="none"/>
              </w:rPr>
            </w:pPr>
          </w:p>
          <w:p w14:paraId="0C1C1283">
            <w:pPr>
              <w:spacing w:line="245" w:lineRule="auto"/>
              <w:rPr>
                <w:rFonts w:ascii="Arial"/>
                <w:sz w:val="21"/>
                <w:highlight w:val="none"/>
              </w:rPr>
            </w:pPr>
          </w:p>
          <w:p w14:paraId="3E6C583A">
            <w:pPr>
              <w:spacing w:line="245" w:lineRule="auto"/>
              <w:rPr>
                <w:rFonts w:ascii="Arial"/>
                <w:sz w:val="21"/>
                <w:highlight w:val="none"/>
              </w:rPr>
            </w:pPr>
          </w:p>
          <w:p w14:paraId="35A0D1C5">
            <w:pPr>
              <w:spacing w:line="245" w:lineRule="auto"/>
              <w:rPr>
                <w:rFonts w:ascii="Arial"/>
                <w:sz w:val="21"/>
                <w:highlight w:val="none"/>
              </w:rPr>
            </w:pPr>
          </w:p>
          <w:p w14:paraId="37B7DADC">
            <w:pPr>
              <w:spacing w:line="245" w:lineRule="auto"/>
              <w:rPr>
                <w:rFonts w:ascii="Arial"/>
                <w:sz w:val="21"/>
                <w:highlight w:val="none"/>
              </w:rPr>
            </w:pPr>
          </w:p>
          <w:p w14:paraId="79E616D1">
            <w:pPr>
              <w:pStyle w:val="7"/>
              <w:spacing w:before="71" w:line="184" w:lineRule="auto"/>
              <w:ind w:left="188"/>
              <w:rPr>
                <w:sz w:val="22"/>
                <w:szCs w:val="22"/>
                <w:highlight w:val="none"/>
              </w:rPr>
            </w:pPr>
            <w:r>
              <w:rPr>
                <w:sz w:val="22"/>
                <w:szCs w:val="22"/>
                <w:highlight w:val="none"/>
              </w:rPr>
              <w:t>2</w:t>
            </w:r>
          </w:p>
        </w:tc>
        <w:tc>
          <w:tcPr>
            <w:tcW w:w="682" w:type="dxa"/>
            <w:vMerge w:val="restart"/>
            <w:tcBorders>
              <w:bottom w:val="nil"/>
            </w:tcBorders>
            <w:vAlign w:val="top"/>
          </w:tcPr>
          <w:p w14:paraId="083C16A0">
            <w:pPr>
              <w:spacing w:line="242" w:lineRule="auto"/>
              <w:rPr>
                <w:rFonts w:ascii="Arial"/>
                <w:sz w:val="21"/>
                <w:highlight w:val="none"/>
              </w:rPr>
            </w:pPr>
          </w:p>
          <w:p w14:paraId="5B94D5E2">
            <w:pPr>
              <w:spacing w:line="242" w:lineRule="auto"/>
              <w:rPr>
                <w:rFonts w:ascii="Arial"/>
                <w:sz w:val="21"/>
                <w:highlight w:val="none"/>
              </w:rPr>
            </w:pPr>
          </w:p>
          <w:p w14:paraId="6A2CDD35">
            <w:pPr>
              <w:spacing w:line="242" w:lineRule="auto"/>
              <w:rPr>
                <w:rFonts w:ascii="Arial"/>
                <w:sz w:val="21"/>
                <w:highlight w:val="none"/>
              </w:rPr>
            </w:pPr>
          </w:p>
          <w:p w14:paraId="2EDD80CF">
            <w:pPr>
              <w:spacing w:line="242" w:lineRule="auto"/>
              <w:rPr>
                <w:rFonts w:ascii="Arial"/>
                <w:sz w:val="21"/>
                <w:highlight w:val="none"/>
              </w:rPr>
            </w:pPr>
          </w:p>
          <w:p w14:paraId="0F5A049C">
            <w:pPr>
              <w:spacing w:line="242" w:lineRule="auto"/>
              <w:rPr>
                <w:rFonts w:ascii="Arial"/>
                <w:sz w:val="21"/>
                <w:highlight w:val="none"/>
              </w:rPr>
            </w:pPr>
          </w:p>
          <w:p w14:paraId="7A037B54">
            <w:pPr>
              <w:spacing w:line="242" w:lineRule="auto"/>
              <w:rPr>
                <w:rFonts w:ascii="Arial"/>
                <w:sz w:val="21"/>
                <w:highlight w:val="none"/>
              </w:rPr>
            </w:pPr>
          </w:p>
          <w:p w14:paraId="15799BF1">
            <w:pPr>
              <w:spacing w:line="242" w:lineRule="auto"/>
              <w:rPr>
                <w:rFonts w:ascii="Arial"/>
                <w:sz w:val="21"/>
                <w:highlight w:val="none"/>
              </w:rPr>
            </w:pPr>
          </w:p>
          <w:p w14:paraId="6438A2C8">
            <w:pPr>
              <w:spacing w:line="242" w:lineRule="auto"/>
              <w:rPr>
                <w:rFonts w:ascii="Arial"/>
                <w:sz w:val="21"/>
                <w:highlight w:val="none"/>
              </w:rPr>
            </w:pPr>
          </w:p>
          <w:p w14:paraId="36DA78B2">
            <w:pPr>
              <w:spacing w:line="243" w:lineRule="auto"/>
              <w:rPr>
                <w:rFonts w:ascii="Arial"/>
                <w:sz w:val="21"/>
                <w:highlight w:val="none"/>
              </w:rPr>
            </w:pPr>
          </w:p>
          <w:p w14:paraId="09A319C8">
            <w:pPr>
              <w:spacing w:line="243" w:lineRule="auto"/>
              <w:rPr>
                <w:rFonts w:ascii="Arial"/>
                <w:sz w:val="21"/>
                <w:highlight w:val="none"/>
              </w:rPr>
            </w:pPr>
          </w:p>
          <w:p w14:paraId="30084A31">
            <w:pPr>
              <w:spacing w:line="243" w:lineRule="auto"/>
              <w:rPr>
                <w:rFonts w:ascii="Arial"/>
                <w:sz w:val="21"/>
                <w:highlight w:val="none"/>
              </w:rPr>
            </w:pPr>
          </w:p>
          <w:p w14:paraId="3CD9F25B">
            <w:pPr>
              <w:spacing w:line="243" w:lineRule="auto"/>
              <w:rPr>
                <w:rFonts w:ascii="Arial"/>
                <w:sz w:val="21"/>
                <w:highlight w:val="none"/>
              </w:rPr>
            </w:pPr>
          </w:p>
          <w:p w14:paraId="1AA5568E">
            <w:pPr>
              <w:spacing w:line="243" w:lineRule="auto"/>
              <w:rPr>
                <w:rFonts w:ascii="Arial"/>
                <w:sz w:val="21"/>
                <w:highlight w:val="none"/>
              </w:rPr>
            </w:pPr>
          </w:p>
          <w:p w14:paraId="614BD38F">
            <w:pPr>
              <w:spacing w:line="243" w:lineRule="auto"/>
              <w:rPr>
                <w:rFonts w:ascii="Arial"/>
                <w:sz w:val="21"/>
                <w:highlight w:val="none"/>
              </w:rPr>
            </w:pPr>
          </w:p>
          <w:p w14:paraId="5CFDBC22">
            <w:pPr>
              <w:spacing w:line="243" w:lineRule="auto"/>
              <w:rPr>
                <w:rFonts w:ascii="Arial"/>
                <w:sz w:val="21"/>
                <w:highlight w:val="none"/>
              </w:rPr>
            </w:pPr>
          </w:p>
          <w:p w14:paraId="64742E6A">
            <w:pPr>
              <w:spacing w:line="243" w:lineRule="auto"/>
              <w:rPr>
                <w:rFonts w:ascii="Arial"/>
                <w:sz w:val="21"/>
                <w:highlight w:val="none"/>
              </w:rPr>
            </w:pPr>
          </w:p>
          <w:p w14:paraId="3939FEE9">
            <w:pPr>
              <w:pStyle w:val="7"/>
              <w:spacing w:before="71" w:line="221" w:lineRule="auto"/>
              <w:ind w:left="246"/>
              <w:rPr>
                <w:sz w:val="22"/>
                <w:szCs w:val="22"/>
                <w:highlight w:val="none"/>
              </w:rPr>
            </w:pPr>
            <w:r>
              <w:rPr>
                <w:sz w:val="22"/>
                <w:szCs w:val="22"/>
                <w:highlight w:val="none"/>
              </w:rPr>
              <w:t>窗</w:t>
            </w:r>
          </w:p>
        </w:tc>
        <w:tc>
          <w:tcPr>
            <w:tcW w:w="1649" w:type="dxa"/>
            <w:vMerge w:val="restart"/>
            <w:tcBorders>
              <w:bottom w:val="nil"/>
            </w:tcBorders>
            <w:vAlign w:val="top"/>
          </w:tcPr>
          <w:p w14:paraId="094DB608">
            <w:pPr>
              <w:spacing w:line="252" w:lineRule="auto"/>
              <w:rPr>
                <w:rFonts w:ascii="Arial"/>
                <w:sz w:val="21"/>
                <w:highlight w:val="none"/>
              </w:rPr>
            </w:pPr>
          </w:p>
          <w:p w14:paraId="56CB12BA">
            <w:pPr>
              <w:spacing w:line="252" w:lineRule="auto"/>
              <w:rPr>
                <w:rFonts w:ascii="Arial"/>
                <w:sz w:val="21"/>
                <w:highlight w:val="none"/>
              </w:rPr>
            </w:pPr>
          </w:p>
          <w:p w14:paraId="11414BC5">
            <w:pPr>
              <w:spacing w:line="252" w:lineRule="auto"/>
              <w:rPr>
                <w:rFonts w:ascii="Arial"/>
                <w:sz w:val="21"/>
                <w:highlight w:val="none"/>
              </w:rPr>
            </w:pPr>
          </w:p>
          <w:p w14:paraId="3B07ABE4">
            <w:pPr>
              <w:spacing w:line="252" w:lineRule="auto"/>
              <w:rPr>
                <w:rFonts w:ascii="Arial"/>
                <w:sz w:val="21"/>
                <w:highlight w:val="none"/>
              </w:rPr>
            </w:pPr>
          </w:p>
          <w:p w14:paraId="1F347610">
            <w:pPr>
              <w:spacing w:line="252" w:lineRule="auto"/>
              <w:rPr>
                <w:rFonts w:ascii="Arial"/>
                <w:sz w:val="21"/>
                <w:highlight w:val="none"/>
              </w:rPr>
            </w:pPr>
          </w:p>
          <w:p w14:paraId="267594B3">
            <w:pPr>
              <w:spacing w:line="252" w:lineRule="auto"/>
              <w:rPr>
                <w:rFonts w:ascii="Arial"/>
                <w:sz w:val="21"/>
                <w:highlight w:val="none"/>
              </w:rPr>
            </w:pPr>
          </w:p>
          <w:p w14:paraId="1C1A21EA">
            <w:pPr>
              <w:spacing w:line="252" w:lineRule="auto"/>
              <w:rPr>
                <w:rFonts w:ascii="Arial"/>
                <w:sz w:val="21"/>
                <w:highlight w:val="none"/>
              </w:rPr>
            </w:pPr>
          </w:p>
          <w:p w14:paraId="78C0FE9A">
            <w:pPr>
              <w:pStyle w:val="7"/>
              <w:spacing w:before="71" w:line="221" w:lineRule="auto"/>
              <w:ind w:left="282"/>
              <w:rPr>
                <w:sz w:val="22"/>
                <w:szCs w:val="22"/>
                <w:highlight w:val="none"/>
              </w:rPr>
            </w:pPr>
            <w:r>
              <w:rPr>
                <w:spacing w:val="-3"/>
                <w:sz w:val="22"/>
                <w:szCs w:val="22"/>
                <w:highlight w:val="none"/>
              </w:rPr>
              <w:t>塑钢平开窗</w:t>
            </w:r>
          </w:p>
        </w:tc>
        <w:tc>
          <w:tcPr>
            <w:tcW w:w="1622" w:type="dxa"/>
            <w:vMerge w:val="restart"/>
            <w:tcBorders>
              <w:bottom w:val="nil"/>
            </w:tcBorders>
            <w:vAlign w:val="top"/>
          </w:tcPr>
          <w:p w14:paraId="0757C67B">
            <w:pPr>
              <w:spacing w:line="251" w:lineRule="auto"/>
              <w:rPr>
                <w:rFonts w:ascii="Arial"/>
                <w:sz w:val="21"/>
                <w:highlight w:val="none"/>
              </w:rPr>
            </w:pPr>
          </w:p>
          <w:p w14:paraId="7A4E7B58">
            <w:pPr>
              <w:spacing w:line="252" w:lineRule="auto"/>
              <w:rPr>
                <w:rFonts w:ascii="Arial"/>
                <w:sz w:val="21"/>
                <w:highlight w:val="none"/>
              </w:rPr>
            </w:pPr>
          </w:p>
          <w:p w14:paraId="642F9BAC">
            <w:pPr>
              <w:spacing w:line="252" w:lineRule="auto"/>
              <w:rPr>
                <w:rFonts w:ascii="Arial"/>
                <w:sz w:val="21"/>
                <w:highlight w:val="none"/>
              </w:rPr>
            </w:pPr>
          </w:p>
          <w:p w14:paraId="52286993">
            <w:pPr>
              <w:spacing w:line="252" w:lineRule="auto"/>
              <w:rPr>
                <w:rFonts w:ascii="Arial"/>
                <w:sz w:val="21"/>
                <w:highlight w:val="none"/>
              </w:rPr>
            </w:pPr>
          </w:p>
          <w:p w14:paraId="13F464F7">
            <w:pPr>
              <w:spacing w:line="252" w:lineRule="auto"/>
              <w:rPr>
                <w:rFonts w:ascii="Arial"/>
                <w:sz w:val="21"/>
                <w:highlight w:val="none"/>
              </w:rPr>
            </w:pPr>
          </w:p>
          <w:p w14:paraId="66D20760">
            <w:pPr>
              <w:spacing w:line="252" w:lineRule="auto"/>
              <w:rPr>
                <w:rFonts w:ascii="Arial"/>
                <w:sz w:val="21"/>
                <w:highlight w:val="none"/>
              </w:rPr>
            </w:pPr>
          </w:p>
          <w:p w14:paraId="0D4EA13D">
            <w:pPr>
              <w:spacing w:line="252" w:lineRule="auto"/>
              <w:rPr>
                <w:rFonts w:ascii="Arial"/>
                <w:sz w:val="21"/>
                <w:highlight w:val="none"/>
              </w:rPr>
            </w:pPr>
          </w:p>
          <w:p w14:paraId="0BBDB3EB">
            <w:pPr>
              <w:pStyle w:val="7"/>
              <w:spacing w:before="72" w:line="222" w:lineRule="auto"/>
              <w:ind w:left="188"/>
              <w:rPr>
                <w:sz w:val="22"/>
                <w:szCs w:val="22"/>
                <w:highlight w:val="none"/>
              </w:rPr>
            </w:pPr>
            <w:r>
              <w:rPr>
                <w:spacing w:val="-3"/>
                <w:sz w:val="22"/>
                <w:szCs w:val="22"/>
                <w:highlight w:val="none"/>
              </w:rPr>
              <w:t>5+9+5</w:t>
            </w:r>
            <w:r>
              <w:rPr>
                <w:spacing w:val="-44"/>
                <w:sz w:val="22"/>
                <w:szCs w:val="22"/>
                <w:highlight w:val="none"/>
              </w:rPr>
              <w:t xml:space="preserve"> </w:t>
            </w:r>
            <w:r>
              <w:rPr>
                <w:spacing w:val="-3"/>
                <w:sz w:val="22"/>
                <w:szCs w:val="22"/>
                <w:highlight w:val="none"/>
              </w:rPr>
              <w:t>双钢化</w:t>
            </w:r>
          </w:p>
        </w:tc>
        <w:tc>
          <w:tcPr>
            <w:tcW w:w="1785" w:type="dxa"/>
            <w:vMerge w:val="restart"/>
            <w:tcBorders>
              <w:bottom w:val="nil"/>
            </w:tcBorders>
            <w:vAlign w:val="top"/>
          </w:tcPr>
          <w:p w14:paraId="78872834">
            <w:pPr>
              <w:spacing w:line="263" w:lineRule="auto"/>
              <w:rPr>
                <w:rFonts w:ascii="Arial"/>
                <w:sz w:val="21"/>
                <w:highlight w:val="none"/>
              </w:rPr>
            </w:pPr>
          </w:p>
          <w:p w14:paraId="1F23B217">
            <w:pPr>
              <w:spacing w:line="263" w:lineRule="auto"/>
              <w:rPr>
                <w:rFonts w:ascii="Arial"/>
                <w:sz w:val="21"/>
                <w:highlight w:val="none"/>
              </w:rPr>
            </w:pPr>
          </w:p>
          <w:p w14:paraId="3D6DD653">
            <w:pPr>
              <w:spacing w:line="263" w:lineRule="auto"/>
              <w:rPr>
                <w:rFonts w:ascii="Arial"/>
                <w:sz w:val="21"/>
                <w:highlight w:val="none"/>
              </w:rPr>
            </w:pPr>
          </w:p>
          <w:p w14:paraId="73C16660">
            <w:pPr>
              <w:pStyle w:val="7"/>
              <w:spacing w:before="71" w:line="222" w:lineRule="auto"/>
              <w:ind w:left="433"/>
              <w:rPr>
                <w:sz w:val="22"/>
                <w:szCs w:val="22"/>
                <w:highlight w:val="none"/>
              </w:rPr>
            </w:pPr>
            <w:r>
              <w:rPr>
                <w:spacing w:val="-5"/>
                <w:sz w:val="22"/>
                <w:szCs w:val="22"/>
                <w:highlight w:val="none"/>
              </w:rPr>
              <w:t>60</w:t>
            </w:r>
            <w:r>
              <w:rPr>
                <w:spacing w:val="-41"/>
                <w:sz w:val="22"/>
                <w:szCs w:val="22"/>
                <w:highlight w:val="none"/>
              </w:rPr>
              <w:t xml:space="preserve"> </w:t>
            </w:r>
            <w:r>
              <w:rPr>
                <w:spacing w:val="-5"/>
                <w:sz w:val="22"/>
                <w:szCs w:val="22"/>
                <w:highlight w:val="none"/>
              </w:rPr>
              <w:t>系白色</w:t>
            </w:r>
          </w:p>
        </w:tc>
        <w:tc>
          <w:tcPr>
            <w:tcW w:w="1471" w:type="dxa"/>
            <w:vAlign w:val="top"/>
          </w:tcPr>
          <w:p w14:paraId="00F35474">
            <w:pPr>
              <w:pStyle w:val="7"/>
              <w:spacing w:before="56" w:line="221" w:lineRule="auto"/>
              <w:ind w:left="116"/>
              <w:rPr>
                <w:sz w:val="22"/>
                <w:szCs w:val="22"/>
                <w:highlight w:val="none"/>
              </w:rPr>
            </w:pPr>
            <w:r>
              <w:rPr>
                <w:spacing w:val="-3"/>
                <w:sz w:val="22"/>
                <w:szCs w:val="22"/>
                <w:highlight w:val="none"/>
              </w:rPr>
              <w:t>直接安装</w:t>
            </w:r>
          </w:p>
        </w:tc>
        <w:tc>
          <w:tcPr>
            <w:tcW w:w="1268" w:type="dxa"/>
            <w:vAlign w:val="top"/>
          </w:tcPr>
          <w:p w14:paraId="79C193CE">
            <w:pPr>
              <w:pStyle w:val="7"/>
              <w:spacing w:before="56" w:line="221" w:lineRule="auto"/>
              <w:ind w:left="174"/>
              <w:rPr>
                <w:sz w:val="22"/>
                <w:szCs w:val="22"/>
                <w:highlight w:val="none"/>
              </w:rPr>
            </w:pPr>
            <w:r>
              <w:rPr>
                <w:spacing w:val="-3"/>
                <w:sz w:val="22"/>
                <w:szCs w:val="22"/>
                <w:highlight w:val="none"/>
              </w:rPr>
              <w:t>400</w:t>
            </w:r>
            <w:r>
              <w:rPr>
                <w:spacing w:val="-46"/>
                <w:sz w:val="22"/>
                <w:szCs w:val="22"/>
                <w:highlight w:val="none"/>
              </w:rPr>
              <w:t xml:space="preserve"> </w:t>
            </w:r>
            <w:r>
              <w:rPr>
                <w:spacing w:val="-3"/>
                <w:sz w:val="22"/>
                <w:szCs w:val="22"/>
                <w:highlight w:val="none"/>
              </w:rPr>
              <w:t>元/㎡</w:t>
            </w:r>
          </w:p>
        </w:tc>
        <w:tc>
          <w:tcPr>
            <w:tcW w:w="600" w:type="dxa"/>
            <w:vAlign w:val="top"/>
          </w:tcPr>
          <w:p w14:paraId="5395E1FE">
            <w:pPr>
              <w:rPr>
                <w:rFonts w:ascii="Arial"/>
                <w:sz w:val="21"/>
                <w:highlight w:val="none"/>
              </w:rPr>
            </w:pPr>
          </w:p>
        </w:tc>
      </w:tr>
      <w:tr w14:paraId="4B7C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3CC29628">
            <w:pPr>
              <w:rPr>
                <w:rFonts w:ascii="Arial"/>
                <w:sz w:val="21"/>
                <w:highlight w:val="none"/>
              </w:rPr>
            </w:pPr>
          </w:p>
        </w:tc>
        <w:tc>
          <w:tcPr>
            <w:tcW w:w="682" w:type="dxa"/>
            <w:vMerge w:val="continue"/>
            <w:tcBorders>
              <w:top w:val="nil"/>
              <w:bottom w:val="nil"/>
            </w:tcBorders>
            <w:vAlign w:val="top"/>
          </w:tcPr>
          <w:p w14:paraId="156EAAB7">
            <w:pPr>
              <w:rPr>
                <w:rFonts w:ascii="Arial"/>
                <w:sz w:val="21"/>
                <w:highlight w:val="none"/>
              </w:rPr>
            </w:pPr>
          </w:p>
        </w:tc>
        <w:tc>
          <w:tcPr>
            <w:tcW w:w="1649" w:type="dxa"/>
            <w:vMerge w:val="continue"/>
            <w:tcBorders>
              <w:top w:val="nil"/>
              <w:bottom w:val="nil"/>
            </w:tcBorders>
            <w:vAlign w:val="top"/>
          </w:tcPr>
          <w:p w14:paraId="3B49667E">
            <w:pPr>
              <w:rPr>
                <w:rFonts w:ascii="Arial"/>
                <w:sz w:val="21"/>
                <w:highlight w:val="none"/>
              </w:rPr>
            </w:pPr>
          </w:p>
        </w:tc>
        <w:tc>
          <w:tcPr>
            <w:tcW w:w="1622" w:type="dxa"/>
            <w:vMerge w:val="continue"/>
            <w:tcBorders>
              <w:top w:val="nil"/>
              <w:bottom w:val="nil"/>
            </w:tcBorders>
            <w:vAlign w:val="top"/>
          </w:tcPr>
          <w:p w14:paraId="61373F7A">
            <w:pPr>
              <w:rPr>
                <w:rFonts w:ascii="Arial"/>
                <w:sz w:val="21"/>
                <w:highlight w:val="none"/>
              </w:rPr>
            </w:pPr>
          </w:p>
        </w:tc>
        <w:tc>
          <w:tcPr>
            <w:tcW w:w="1785" w:type="dxa"/>
            <w:vMerge w:val="continue"/>
            <w:tcBorders>
              <w:top w:val="nil"/>
              <w:bottom w:val="nil"/>
            </w:tcBorders>
            <w:vAlign w:val="top"/>
          </w:tcPr>
          <w:p w14:paraId="2BDAD216">
            <w:pPr>
              <w:rPr>
                <w:rFonts w:ascii="Arial"/>
                <w:sz w:val="21"/>
                <w:highlight w:val="none"/>
              </w:rPr>
            </w:pPr>
          </w:p>
        </w:tc>
        <w:tc>
          <w:tcPr>
            <w:tcW w:w="1471" w:type="dxa"/>
            <w:vAlign w:val="top"/>
          </w:tcPr>
          <w:p w14:paraId="3036A7B1">
            <w:pPr>
              <w:pStyle w:val="7"/>
              <w:spacing w:before="62"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46D519F1">
            <w:pPr>
              <w:pStyle w:val="7"/>
              <w:spacing w:before="205" w:line="221" w:lineRule="auto"/>
              <w:ind w:left="174"/>
              <w:rPr>
                <w:sz w:val="22"/>
                <w:szCs w:val="22"/>
                <w:highlight w:val="none"/>
              </w:rPr>
            </w:pPr>
            <w:r>
              <w:rPr>
                <w:spacing w:val="-3"/>
                <w:sz w:val="22"/>
                <w:szCs w:val="22"/>
                <w:highlight w:val="none"/>
              </w:rPr>
              <w:t>406</w:t>
            </w:r>
            <w:r>
              <w:rPr>
                <w:spacing w:val="-45"/>
                <w:sz w:val="22"/>
                <w:szCs w:val="22"/>
                <w:highlight w:val="none"/>
              </w:rPr>
              <w:t xml:space="preserve"> </w:t>
            </w:r>
            <w:r>
              <w:rPr>
                <w:spacing w:val="-3"/>
                <w:sz w:val="22"/>
                <w:szCs w:val="22"/>
                <w:highlight w:val="none"/>
              </w:rPr>
              <w:t>元/㎡</w:t>
            </w:r>
          </w:p>
        </w:tc>
        <w:tc>
          <w:tcPr>
            <w:tcW w:w="600" w:type="dxa"/>
            <w:vAlign w:val="top"/>
          </w:tcPr>
          <w:p w14:paraId="17401B4A">
            <w:pPr>
              <w:rPr>
                <w:rFonts w:ascii="Arial"/>
                <w:sz w:val="21"/>
                <w:highlight w:val="none"/>
              </w:rPr>
            </w:pPr>
          </w:p>
        </w:tc>
      </w:tr>
      <w:tr w14:paraId="65BFB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70D1A4D8">
            <w:pPr>
              <w:rPr>
                <w:rFonts w:ascii="Arial"/>
                <w:sz w:val="21"/>
                <w:highlight w:val="none"/>
              </w:rPr>
            </w:pPr>
          </w:p>
        </w:tc>
        <w:tc>
          <w:tcPr>
            <w:tcW w:w="682" w:type="dxa"/>
            <w:vMerge w:val="continue"/>
            <w:tcBorders>
              <w:top w:val="nil"/>
              <w:bottom w:val="nil"/>
            </w:tcBorders>
            <w:vAlign w:val="top"/>
          </w:tcPr>
          <w:p w14:paraId="02D65E8D">
            <w:pPr>
              <w:rPr>
                <w:rFonts w:ascii="Arial"/>
                <w:sz w:val="21"/>
                <w:highlight w:val="none"/>
              </w:rPr>
            </w:pPr>
          </w:p>
        </w:tc>
        <w:tc>
          <w:tcPr>
            <w:tcW w:w="1649" w:type="dxa"/>
            <w:vMerge w:val="continue"/>
            <w:tcBorders>
              <w:top w:val="nil"/>
              <w:bottom w:val="nil"/>
            </w:tcBorders>
            <w:vAlign w:val="top"/>
          </w:tcPr>
          <w:p w14:paraId="031EF000">
            <w:pPr>
              <w:rPr>
                <w:rFonts w:ascii="Arial"/>
                <w:sz w:val="21"/>
                <w:highlight w:val="none"/>
              </w:rPr>
            </w:pPr>
          </w:p>
        </w:tc>
        <w:tc>
          <w:tcPr>
            <w:tcW w:w="1622" w:type="dxa"/>
            <w:vMerge w:val="continue"/>
            <w:tcBorders>
              <w:top w:val="nil"/>
              <w:bottom w:val="nil"/>
            </w:tcBorders>
            <w:vAlign w:val="top"/>
          </w:tcPr>
          <w:p w14:paraId="07FF6BDD">
            <w:pPr>
              <w:rPr>
                <w:rFonts w:ascii="Arial"/>
                <w:sz w:val="21"/>
                <w:highlight w:val="none"/>
              </w:rPr>
            </w:pPr>
          </w:p>
        </w:tc>
        <w:tc>
          <w:tcPr>
            <w:tcW w:w="1785" w:type="dxa"/>
            <w:vMerge w:val="continue"/>
            <w:tcBorders>
              <w:top w:val="nil"/>
              <w:bottom w:val="nil"/>
            </w:tcBorders>
            <w:vAlign w:val="top"/>
          </w:tcPr>
          <w:p w14:paraId="6F7B7A46">
            <w:pPr>
              <w:rPr>
                <w:rFonts w:ascii="Arial"/>
                <w:sz w:val="21"/>
                <w:highlight w:val="none"/>
              </w:rPr>
            </w:pPr>
          </w:p>
        </w:tc>
        <w:tc>
          <w:tcPr>
            <w:tcW w:w="1471" w:type="dxa"/>
            <w:vAlign w:val="top"/>
          </w:tcPr>
          <w:p w14:paraId="177C42A3">
            <w:pPr>
              <w:pStyle w:val="7"/>
              <w:spacing w:before="207" w:line="220" w:lineRule="auto"/>
              <w:ind w:left="116"/>
              <w:rPr>
                <w:sz w:val="22"/>
                <w:szCs w:val="22"/>
                <w:highlight w:val="none"/>
              </w:rPr>
            </w:pPr>
            <w:r>
              <w:rPr>
                <w:spacing w:val="-2"/>
                <w:sz w:val="22"/>
                <w:szCs w:val="22"/>
                <w:highlight w:val="none"/>
              </w:rPr>
              <w:t>蜘蛛人辅助</w:t>
            </w:r>
          </w:p>
        </w:tc>
        <w:tc>
          <w:tcPr>
            <w:tcW w:w="1268" w:type="dxa"/>
            <w:vAlign w:val="top"/>
          </w:tcPr>
          <w:p w14:paraId="1085F868">
            <w:pPr>
              <w:pStyle w:val="7"/>
              <w:spacing w:before="207" w:line="221" w:lineRule="auto"/>
              <w:ind w:left="174"/>
              <w:rPr>
                <w:sz w:val="22"/>
                <w:szCs w:val="22"/>
                <w:highlight w:val="none"/>
              </w:rPr>
            </w:pPr>
            <w:r>
              <w:rPr>
                <w:spacing w:val="-3"/>
                <w:sz w:val="22"/>
                <w:szCs w:val="22"/>
                <w:highlight w:val="none"/>
              </w:rPr>
              <w:t>450</w:t>
            </w:r>
            <w:r>
              <w:rPr>
                <w:spacing w:val="-45"/>
                <w:sz w:val="22"/>
                <w:szCs w:val="22"/>
                <w:highlight w:val="none"/>
              </w:rPr>
              <w:t xml:space="preserve"> </w:t>
            </w:r>
            <w:r>
              <w:rPr>
                <w:spacing w:val="-3"/>
                <w:sz w:val="22"/>
                <w:szCs w:val="22"/>
                <w:highlight w:val="none"/>
              </w:rPr>
              <w:t>元/㎡</w:t>
            </w:r>
          </w:p>
        </w:tc>
        <w:tc>
          <w:tcPr>
            <w:tcW w:w="600" w:type="dxa"/>
            <w:vAlign w:val="top"/>
          </w:tcPr>
          <w:p w14:paraId="47F06C76">
            <w:pPr>
              <w:rPr>
                <w:rFonts w:ascii="Arial"/>
                <w:sz w:val="21"/>
                <w:highlight w:val="none"/>
              </w:rPr>
            </w:pPr>
          </w:p>
        </w:tc>
      </w:tr>
      <w:tr w14:paraId="54BB5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1FB04887">
            <w:pPr>
              <w:rPr>
                <w:rFonts w:ascii="Arial"/>
                <w:sz w:val="21"/>
                <w:highlight w:val="none"/>
              </w:rPr>
            </w:pPr>
          </w:p>
        </w:tc>
        <w:tc>
          <w:tcPr>
            <w:tcW w:w="682" w:type="dxa"/>
            <w:vMerge w:val="continue"/>
            <w:tcBorders>
              <w:top w:val="nil"/>
              <w:bottom w:val="nil"/>
            </w:tcBorders>
            <w:vAlign w:val="top"/>
          </w:tcPr>
          <w:p w14:paraId="0B2721C2">
            <w:pPr>
              <w:rPr>
                <w:rFonts w:ascii="Arial"/>
                <w:sz w:val="21"/>
                <w:highlight w:val="none"/>
              </w:rPr>
            </w:pPr>
          </w:p>
        </w:tc>
        <w:tc>
          <w:tcPr>
            <w:tcW w:w="1649" w:type="dxa"/>
            <w:vMerge w:val="continue"/>
            <w:tcBorders>
              <w:top w:val="nil"/>
              <w:bottom w:val="nil"/>
            </w:tcBorders>
            <w:vAlign w:val="top"/>
          </w:tcPr>
          <w:p w14:paraId="18FAF54D">
            <w:pPr>
              <w:rPr>
                <w:rFonts w:ascii="Arial"/>
                <w:sz w:val="21"/>
                <w:highlight w:val="none"/>
              </w:rPr>
            </w:pPr>
          </w:p>
        </w:tc>
        <w:tc>
          <w:tcPr>
            <w:tcW w:w="1622" w:type="dxa"/>
            <w:vMerge w:val="continue"/>
            <w:tcBorders>
              <w:top w:val="nil"/>
              <w:bottom w:val="nil"/>
            </w:tcBorders>
            <w:vAlign w:val="top"/>
          </w:tcPr>
          <w:p w14:paraId="569B2F6A">
            <w:pPr>
              <w:rPr>
                <w:rFonts w:ascii="Arial"/>
                <w:sz w:val="21"/>
                <w:highlight w:val="none"/>
              </w:rPr>
            </w:pPr>
          </w:p>
        </w:tc>
        <w:tc>
          <w:tcPr>
            <w:tcW w:w="1785" w:type="dxa"/>
            <w:vMerge w:val="continue"/>
            <w:tcBorders>
              <w:top w:val="nil"/>
            </w:tcBorders>
            <w:vAlign w:val="top"/>
          </w:tcPr>
          <w:p w14:paraId="585E696F">
            <w:pPr>
              <w:rPr>
                <w:rFonts w:ascii="Arial"/>
                <w:sz w:val="21"/>
                <w:highlight w:val="none"/>
              </w:rPr>
            </w:pPr>
          </w:p>
        </w:tc>
        <w:tc>
          <w:tcPr>
            <w:tcW w:w="1471" w:type="dxa"/>
            <w:vAlign w:val="top"/>
          </w:tcPr>
          <w:p w14:paraId="2CCD7615">
            <w:pPr>
              <w:pStyle w:val="7"/>
              <w:spacing w:before="58" w:line="221" w:lineRule="auto"/>
              <w:ind w:left="141"/>
              <w:rPr>
                <w:sz w:val="22"/>
                <w:szCs w:val="22"/>
                <w:highlight w:val="none"/>
              </w:rPr>
            </w:pPr>
            <w:r>
              <w:rPr>
                <w:spacing w:val="-9"/>
                <w:sz w:val="22"/>
                <w:szCs w:val="22"/>
                <w:highlight w:val="none"/>
              </w:rPr>
              <w:t>吊篮辅助</w:t>
            </w:r>
          </w:p>
        </w:tc>
        <w:tc>
          <w:tcPr>
            <w:tcW w:w="1268" w:type="dxa"/>
            <w:vAlign w:val="top"/>
          </w:tcPr>
          <w:p w14:paraId="65E95E5E">
            <w:pPr>
              <w:pStyle w:val="7"/>
              <w:spacing w:before="58" w:line="221" w:lineRule="auto"/>
              <w:ind w:left="174"/>
              <w:rPr>
                <w:sz w:val="22"/>
                <w:szCs w:val="22"/>
                <w:highlight w:val="none"/>
              </w:rPr>
            </w:pPr>
            <w:r>
              <w:rPr>
                <w:spacing w:val="-3"/>
                <w:sz w:val="22"/>
                <w:szCs w:val="22"/>
                <w:highlight w:val="none"/>
              </w:rPr>
              <w:t>410</w:t>
            </w:r>
            <w:r>
              <w:rPr>
                <w:spacing w:val="-45"/>
                <w:sz w:val="22"/>
                <w:szCs w:val="22"/>
                <w:highlight w:val="none"/>
              </w:rPr>
              <w:t xml:space="preserve"> </w:t>
            </w:r>
            <w:r>
              <w:rPr>
                <w:spacing w:val="-3"/>
                <w:sz w:val="22"/>
                <w:szCs w:val="22"/>
                <w:highlight w:val="none"/>
              </w:rPr>
              <w:t>元/㎡</w:t>
            </w:r>
          </w:p>
        </w:tc>
        <w:tc>
          <w:tcPr>
            <w:tcW w:w="600" w:type="dxa"/>
            <w:vAlign w:val="top"/>
          </w:tcPr>
          <w:p w14:paraId="782EC01E">
            <w:pPr>
              <w:rPr>
                <w:rFonts w:ascii="Arial"/>
                <w:sz w:val="21"/>
                <w:highlight w:val="none"/>
              </w:rPr>
            </w:pPr>
          </w:p>
        </w:tc>
      </w:tr>
      <w:tr w14:paraId="55F1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0F07F295">
            <w:pPr>
              <w:rPr>
                <w:rFonts w:ascii="Arial"/>
                <w:sz w:val="21"/>
                <w:highlight w:val="none"/>
              </w:rPr>
            </w:pPr>
          </w:p>
        </w:tc>
        <w:tc>
          <w:tcPr>
            <w:tcW w:w="682" w:type="dxa"/>
            <w:vMerge w:val="continue"/>
            <w:tcBorders>
              <w:top w:val="nil"/>
              <w:bottom w:val="nil"/>
            </w:tcBorders>
            <w:vAlign w:val="top"/>
          </w:tcPr>
          <w:p w14:paraId="2B6F89BF">
            <w:pPr>
              <w:rPr>
                <w:rFonts w:ascii="Arial"/>
                <w:sz w:val="21"/>
                <w:highlight w:val="none"/>
              </w:rPr>
            </w:pPr>
          </w:p>
        </w:tc>
        <w:tc>
          <w:tcPr>
            <w:tcW w:w="1649" w:type="dxa"/>
            <w:vMerge w:val="continue"/>
            <w:tcBorders>
              <w:top w:val="nil"/>
              <w:bottom w:val="nil"/>
            </w:tcBorders>
            <w:vAlign w:val="top"/>
          </w:tcPr>
          <w:p w14:paraId="2B4F175A">
            <w:pPr>
              <w:rPr>
                <w:rFonts w:ascii="Arial"/>
                <w:sz w:val="21"/>
                <w:highlight w:val="none"/>
              </w:rPr>
            </w:pPr>
          </w:p>
        </w:tc>
        <w:tc>
          <w:tcPr>
            <w:tcW w:w="1622" w:type="dxa"/>
            <w:vMerge w:val="continue"/>
            <w:tcBorders>
              <w:top w:val="nil"/>
              <w:bottom w:val="nil"/>
            </w:tcBorders>
            <w:vAlign w:val="top"/>
          </w:tcPr>
          <w:p w14:paraId="31A4A2A6">
            <w:pPr>
              <w:rPr>
                <w:rFonts w:ascii="Arial"/>
                <w:sz w:val="21"/>
                <w:highlight w:val="none"/>
              </w:rPr>
            </w:pPr>
          </w:p>
        </w:tc>
        <w:tc>
          <w:tcPr>
            <w:tcW w:w="1785" w:type="dxa"/>
            <w:vMerge w:val="restart"/>
            <w:tcBorders>
              <w:bottom w:val="nil"/>
            </w:tcBorders>
            <w:vAlign w:val="top"/>
          </w:tcPr>
          <w:p w14:paraId="45CE6018">
            <w:pPr>
              <w:spacing w:line="264" w:lineRule="auto"/>
              <w:rPr>
                <w:rFonts w:ascii="Arial"/>
                <w:sz w:val="21"/>
                <w:highlight w:val="none"/>
              </w:rPr>
            </w:pPr>
          </w:p>
          <w:p w14:paraId="263D2828">
            <w:pPr>
              <w:spacing w:line="264" w:lineRule="auto"/>
              <w:rPr>
                <w:rFonts w:ascii="Arial"/>
                <w:sz w:val="21"/>
                <w:highlight w:val="none"/>
              </w:rPr>
            </w:pPr>
          </w:p>
          <w:p w14:paraId="4B5F0D16">
            <w:pPr>
              <w:spacing w:line="264" w:lineRule="auto"/>
              <w:rPr>
                <w:rFonts w:ascii="Arial"/>
                <w:sz w:val="21"/>
                <w:highlight w:val="none"/>
              </w:rPr>
            </w:pPr>
          </w:p>
          <w:p w14:paraId="27508EE8">
            <w:pPr>
              <w:pStyle w:val="7"/>
              <w:spacing w:before="71" w:line="219" w:lineRule="auto"/>
              <w:ind w:left="245"/>
              <w:rPr>
                <w:sz w:val="22"/>
                <w:szCs w:val="22"/>
                <w:highlight w:val="none"/>
              </w:rPr>
            </w:pPr>
            <w:r>
              <w:rPr>
                <w:spacing w:val="-3"/>
                <w:sz w:val="22"/>
                <w:szCs w:val="22"/>
                <w:highlight w:val="none"/>
              </w:rPr>
              <w:t>（不含型材）</w:t>
            </w:r>
          </w:p>
        </w:tc>
        <w:tc>
          <w:tcPr>
            <w:tcW w:w="1471" w:type="dxa"/>
            <w:vAlign w:val="top"/>
          </w:tcPr>
          <w:p w14:paraId="14A0C879">
            <w:pPr>
              <w:pStyle w:val="7"/>
              <w:spacing w:before="59" w:line="221" w:lineRule="auto"/>
              <w:ind w:left="116"/>
              <w:rPr>
                <w:sz w:val="22"/>
                <w:szCs w:val="22"/>
                <w:highlight w:val="none"/>
              </w:rPr>
            </w:pPr>
            <w:r>
              <w:rPr>
                <w:spacing w:val="-3"/>
                <w:sz w:val="22"/>
                <w:szCs w:val="22"/>
                <w:highlight w:val="none"/>
              </w:rPr>
              <w:t>直接安装</w:t>
            </w:r>
          </w:p>
        </w:tc>
        <w:tc>
          <w:tcPr>
            <w:tcW w:w="1268" w:type="dxa"/>
            <w:vAlign w:val="top"/>
          </w:tcPr>
          <w:p w14:paraId="78C68252">
            <w:pPr>
              <w:pStyle w:val="7"/>
              <w:spacing w:before="59" w:line="221" w:lineRule="auto"/>
              <w:ind w:left="179"/>
              <w:rPr>
                <w:sz w:val="22"/>
                <w:szCs w:val="22"/>
                <w:highlight w:val="none"/>
              </w:rPr>
            </w:pPr>
            <w:r>
              <w:rPr>
                <w:spacing w:val="-4"/>
                <w:sz w:val="22"/>
                <w:szCs w:val="22"/>
                <w:highlight w:val="none"/>
              </w:rPr>
              <w:t>340</w:t>
            </w:r>
            <w:r>
              <w:rPr>
                <w:spacing w:val="-45"/>
                <w:sz w:val="22"/>
                <w:szCs w:val="22"/>
                <w:highlight w:val="none"/>
              </w:rPr>
              <w:t xml:space="preserve"> </w:t>
            </w:r>
            <w:r>
              <w:rPr>
                <w:spacing w:val="-4"/>
                <w:sz w:val="22"/>
                <w:szCs w:val="22"/>
                <w:highlight w:val="none"/>
              </w:rPr>
              <w:t>元/㎡</w:t>
            </w:r>
          </w:p>
        </w:tc>
        <w:tc>
          <w:tcPr>
            <w:tcW w:w="600" w:type="dxa"/>
            <w:vAlign w:val="top"/>
          </w:tcPr>
          <w:p w14:paraId="153803A1">
            <w:pPr>
              <w:rPr>
                <w:rFonts w:ascii="Arial"/>
                <w:sz w:val="21"/>
                <w:highlight w:val="none"/>
              </w:rPr>
            </w:pPr>
          </w:p>
        </w:tc>
      </w:tr>
      <w:tr w14:paraId="73B1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tcBorders>
              <w:top w:val="nil"/>
              <w:bottom w:val="nil"/>
            </w:tcBorders>
            <w:vAlign w:val="top"/>
          </w:tcPr>
          <w:p w14:paraId="66C173E9">
            <w:pPr>
              <w:rPr>
                <w:rFonts w:ascii="Arial"/>
                <w:sz w:val="21"/>
                <w:highlight w:val="none"/>
              </w:rPr>
            </w:pPr>
          </w:p>
        </w:tc>
        <w:tc>
          <w:tcPr>
            <w:tcW w:w="682" w:type="dxa"/>
            <w:vMerge w:val="continue"/>
            <w:tcBorders>
              <w:top w:val="nil"/>
              <w:bottom w:val="nil"/>
            </w:tcBorders>
            <w:vAlign w:val="top"/>
          </w:tcPr>
          <w:p w14:paraId="70726443">
            <w:pPr>
              <w:rPr>
                <w:rFonts w:ascii="Arial"/>
                <w:sz w:val="21"/>
                <w:highlight w:val="none"/>
              </w:rPr>
            </w:pPr>
          </w:p>
        </w:tc>
        <w:tc>
          <w:tcPr>
            <w:tcW w:w="1649" w:type="dxa"/>
            <w:vMerge w:val="continue"/>
            <w:tcBorders>
              <w:top w:val="nil"/>
              <w:bottom w:val="nil"/>
            </w:tcBorders>
            <w:vAlign w:val="top"/>
          </w:tcPr>
          <w:p w14:paraId="6386D892">
            <w:pPr>
              <w:rPr>
                <w:rFonts w:ascii="Arial"/>
                <w:sz w:val="21"/>
                <w:highlight w:val="none"/>
              </w:rPr>
            </w:pPr>
          </w:p>
        </w:tc>
        <w:tc>
          <w:tcPr>
            <w:tcW w:w="1622" w:type="dxa"/>
            <w:vMerge w:val="continue"/>
            <w:tcBorders>
              <w:top w:val="nil"/>
              <w:bottom w:val="nil"/>
            </w:tcBorders>
            <w:vAlign w:val="top"/>
          </w:tcPr>
          <w:p w14:paraId="56BCB9E7">
            <w:pPr>
              <w:rPr>
                <w:rFonts w:ascii="Arial"/>
                <w:sz w:val="21"/>
                <w:highlight w:val="none"/>
              </w:rPr>
            </w:pPr>
          </w:p>
        </w:tc>
        <w:tc>
          <w:tcPr>
            <w:tcW w:w="1785" w:type="dxa"/>
            <w:vMerge w:val="continue"/>
            <w:tcBorders>
              <w:top w:val="nil"/>
              <w:bottom w:val="nil"/>
            </w:tcBorders>
            <w:vAlign w:val="top"/>
          </w:tcPr>
          <w:p w14:paraId="470DF24B">
            <w:pPr>
              <w:rPr>
                <w:rFonts w:ascii="Arial"/>
                <w:sz w:val="21"/>
                <w:highlight w:val="none"/>
              </w:rPr>
            </w:pPr>
          </w:p>
        </w:tc>
        <w:tc>
          <w:tcPr>
            <w:tcW w:w="1471" w:type="dxa"/>
            <w:vAlign w:val="top"/>
          </w:tcPr>
          <w:p w14:paraId="76B63D11">
            <w:pPr>
              <w:pStyle w:val="7"/>
              <w:spacing w:before="65"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0AE956C3">
            <w:pPr>
              <w:pStyle w:val="7"/>
              <w:spacing w:before="208" w:line="221" w:lineRule="auto"/>
              <w:ind w:left="179"/>
              <w:rPr>
                <w:sz w:val="22"/>
                <w:szCs w:val="22"/>
                <w:highlight w:val="none"/>
              </w:rPr>
            </w:pPr>
            <w:r>
              <w:rPr>
                <w:spacing w:val="-4"/>
                <w:sz w:val="22"/>
                <w:szCs w:val="22"/>
                <w:highlight w:val="none"/>
              </w:rPr>
              <w:t>346</w:t>
            </w:r>
            <w:r>
              <w:rPr>
                <w:spacing w:val="-45"/>
                <w:sz w:val="22"/>
                <w:szCs w:val="22"/>
                <w:highlight w:val="none"/>
              </w:rPr>
              <w:t xml:space="preserve"> </w:t>
            </w:r>
            <w:r>
              <w:rPr>
                <w:spacing w:val="-4"/>
                <w:sz w:val="22"/>
                <w:szCs w:val="22"/>
                <w:highlight w:val="none"/>
              </w:rPr>
              <w:t>元/㎡</w:t>
            </w:r>
          </w:p>
        </w:tc>
        <w:tc>
          <w:tcPr>
            <w:tcW w:w="600" w:type="dxa"/>
            <w:vAlign w:val="top"/>
          </w:tcPr>
          <w:p w14:paraId="6EAE315C">
            <w:pPr>
              <w:rPr>
                <w:rFonts w:ascii="Arial"/>
                <w:sz w:val="21"/>
                <w:highlight w:val="none"/>
              </w:rPr>
            </w:pPr>
          </w:p>
        </w:tc>
      </w:tr>
      <w:tr w14:paraId="10AD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0A67285D">
            <w:pPr>
              <w:rPr>
                <w:rFonts w:ascii="Arial"/>
                <w:sz w:val="21"/>
                <w:highlight w:val="none"/>
              </w:rPr>
            </w:pPr>
          </w:p>
        </w:tc>
        <w:tc>
          <w:tcPr>
            <w:tcW w:w="682" w:type="dxa"/>
            <w:vMerge w:val="continue"/>
            <w:tcBorders>
              <w:top w:val="nil"/>
              <w:bottom w:val="nil"/>
            </w:tcBorders>
            <w:vAlign w:val="top"/>
          </w:tcPr>
          <w:p w14:paraId="770AA2C6">
            <w:pPr>
              <w:rPr>
                <w:rFonts w:ascii="Arial"/>
                <w:sz w:val="21"/>
                <w:highlight w:val="none"/>
              </w:rPr>
            </w:pPr>
          </w:p>
        </w:tc>
        <w:tc>
          <w:tcPr>
            <w:tcW w:w="1649" w:type="dxa"/>
            <w:vMerge w:val="continue"/>
            <w:tcBorders>
              <w:top w:val="nil"/>
              <w:bottom w:val="nil"/>
            </w:tcBorders>
            <w:vAlign w:val="top"/>
          </w:tcPr>
          <w:p w14:paraId="55322FF3">
            <w:pPr>
              <w:rPr>
                <w:rFonts w:ascii="Arial"/>
                <w:sz w:val="21"/>
                <w:highlight w:val="none"/>
              </w:rPr>
            </w:pPr>
          </w:p>
        </w:tc>
        <w:tc>
          <w:tcPr>
            <w:tcW w:w="1622" w:type="dxa"/>
            <w:vMerge w:val="continue"/>
            <w:tcBorders>
              <w:top w:val="nil"/>
              <w:bottom w:val="nil"/>
            </w:tcBorders>
            <w:vAlign w:val="top"/>
          </w:tcPr>
          <w:p w14:paraId="7C254AE6">
            <w:pPr>
              <w:rPr>
                <w:rFonts w:ascii="Arial"/>
                <w:sz w:val="21"/>
                <w:highlight w:val="none"/>
              </w:rPr>
            </w:pPr>
          </w:p>
        </w:tc>
        <w:tc>
          <w:tcPr>
            <w:tcW w:w="1785" w:type="dxa"/>
            <w:vMerge w:val="continue"/>
            <w:tcBorders>
              <w:top w:val="nil"/>
              <w:bottom w:val="nil"/>
            </w:tcBorders>
            <w:vAlign w:val="top"/>
          </w:tcPr>
          <w:p w14:paraId="03B20DC3">
            <w:pPr>
              <w:rPr>
                <w:rFonts w:ascii="Arial"/>
                <w:sz w:val="21"/>
                <w:highlight w:val="none"/>
              </w:rPr>
            </w:pPr>
          </w:p>
        </w:tc>
        <w:tc>
          <w:tcPr>
            <w:tcW w:w="1471" w:type="dxa"/>
            <w:vAlign w:val="top"/>
          </w:tcPr>
          <w:p w14:paraId="7D83ECB7">
            <w:pPr>
              <w:pStyle w:val="7"/>
              <w:spacing w:before="208" w:line="220" w:lineRule="auto"/>
              <w:ind w:left="116"/>
              <w:rPr>
                <w:sz w:val="22"/>
                <w:szCs w:val="22"/>
                <w:highlight w:val="none"/>
              </w:rPr>
            </w:pPr>
            <w:r>
              <w:rPr>
                <w:spacing w:val="-2"/>
                <w:sz w:val="22"/>
                <w:szCs w:val="22"/>
                <w:highlight w:val="none"/>
              </w:rPr>
              <w:t>蜘蛛人辅助</w:t>
            </w:r>
          </w:p>
        </w:tc>
        <w:tc>
          <w:tcPr>
            <w:tcW w:w="1268" w:type="dxa"/>
            <w:vAlign w:val="top"/>
          </w:tcPr>
          <w:p w14:paraId="1EC16B69">
            <w:pPr>
              <w:pStyle w:val="7"/>
              <w:spacing w:before="208" w:line="221" w:lineRule="auto"/>
              <w:ind w:left="179"/>
              <w:rPr>
                <w:sz w:val="22"/>
                <w:szCs w:val="22"/>
                <w:highlight w:val="none"/>
              </w:rPr>
            </w:pPr>
            <w:r>
              <w:rPr>
                <w:spacing w:val="-4"/>
                <w:sz w:val="22"/>
                <w:szCs w:val="22"/>
                <w:highlight w:val="none"/>
              </w:rPr>
              <w:t>390</w:t>
            </w:r>
            <w:r>
              <w:rPr>
                <w:spacing w:val="-45"/>
                <w:sz w:val="22"/>
                <w:szCs w:val="22"/>
                <w:highlight w:val="none"/>
              </w:rPr>
              <w:t xml:space="preserve"> </w:t>
            </w:r>
            <w:r>
              <w:rPr>
                <w:spacing w:val="-4"/>
                <w:sz w:val="22"/>
                <w:szCs w:val="22"/>
                <w:highlight w:val="none"/>
              </w:rPr>
              <w:t>元/㎡</w:t>
            </w:r>
          </w:p>
        </w:tc>
        <w:tc>
          <w:tcPr>
            <w:tcW w:w="600" w:type="dxa"/>
            <w:vAlign w:val="top"/>
          </w:tcPr>
          <w:p w14:paraId="5618990E">
            <w:pPr>
              <w:rPr>
                <w:rFonts w:ascii="Arial"/>
                <w:sz w:val="21"/>
                <w:highlight w:val="none"/>
              </w:rPr>
            </w:pPr>
          </w:p>
        </w:tc>
      </w:tr>
      <w:tr w14:paraId="67C72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201B480">
            <w:pPr>
              <w:rPr>
                <w:rFonts w:ascii="Arial"/>
                <w:sz w:val="21"/>
                <w:highlight w:val="none"/>
              </w:rPr>
            </w:pPr>
          </w:p>
        </w:tc>
        <w:tc>
          <w:tcPr>
            <w:tcW w:w="682" w:type="dxa"/>
            <w:vMerge w:val="continue"/>
            <w:tcBorders>
              <w:top w:val="nil"/>
              <w:bottom w:val="nil"/>
            </w:tcBorders>
            <w:vAlign w:val="top"/>
          </w:tcPr>
          <w:p w14:paraId="247A7EF6">
            <w:pPr>
              <w:rPr>
                <w:rFonts w:ascii="Arial"/>
                <w:sz w:val="21"/>
                <w:highlight w:val="none"/>
              </w:rPr>
            </w:pPr>
          </w:p>
        </w:tc>
        <w:tc>
          <w:tcPr>
            <w:tcW w:w="1649" w:type="dxa"/>
            <w:vMerge w:val="continue"/>
            <w:tcBorders>
              <w:top w:val="nil"/>
            </w:tcBorders>
            <w:vAlign w:val="top"/>
          </w:tcPr>
          <w:p w14:paraId="20A60158">
            <w:pPr>
              <w:rPr>
                <w:rFonts w:ascii="Arial"/>
                <w:sz w:val="21"/>
                <w:highlight w:val="none"/>
              </w:rPr>
            </w:pPr>
          </w:p>
        </w:tc>
        <w:tc>
          <w:tcPr>
            <w:tcW w:w="1622" w:type="dxa"/>
            <w:vMerge w:val="continue"/>
            <w:tcBorders>
              <w:top w:val="nil"/>
            </w:tcBorders>
            <w:vAlign w:val="top"/>
          </w:tcPr>
          <w:p w14:paraId="54C08888">
            <w:pPr>
              <w:rPr>
                <w:rFonts w:ascii="Arial"/>
                <w:sz w:val="21"/>
                <w:highlight w:val="none"/>
              </w:rPr>
            </w:pPr>
          </w:p>
        </w:tc>
        <w:tc>
          <w:tcPr>
            <w:tcW w:w="1785" w:type="dxa"/>
            <w:vMerge w:val="continue"/>
            <w:tcBorders>
              <w:top w:val="nil"/>
            </w:tcBorders>
            <w:vAlign w:val="top"/>
          </w:tcPr>
          <w:p w14:paraId="51331C3A">
            <w:pPr>
              <w:rPr>
                <w:rFonts w:ascii="Arial"/>
                <w:sz w:val="21"/>
                <w:highlight w:val="none"/>
              </w:rPr>
            </w:pPr>
          </w:p>
        </w:tc>
        <w:tc>
          <w:tcPr>
            <w:tcW w:w="1471" w:type="dxa"/>
            <w:vAlign w:val="top"/>
          </w:tcPr>
          <w:p w14:paraId="299DCF87">
            <w:pPr>
              <w:pStyle w:val="7"/>
              <w:spacing w:before="60" w:line="221" w:lineRule="auto"/>
              <w:ind w:left="141"/>
              <w:rPr>
                <w:sz w:val="22"/>
                <w:szCs w:val="22"/>
                <w:highlight w:val="none"/>
              </w:rPr>
            </w:pPr>
            <w:r>
              <w:rPr>
                <w:spacing w:val="-9"/>
                <w:sz w:val="22"/>
                <w:szCs w:val="22"/>
                <w:highlight w:val="none"/>
              </w:rPr>
              <w:t>吊篮辅助</w:t>
            </w:r>
          </w:p>
        </w:tc>
        <w:tc>
          <w:tcPr>
            <w:tcW w:w="1268" w:type="dxa"/>
            <w:vAlign w:val="top"/>
          </w:tcPr>
          <w:p w14:paraId="7BC097D7">
            <w:pPr>
              <w:pStyle w:val="7"/>
              <w:spacing w:before="60" w:line="221" w:lineRule="auto"/>
              <w:ind w:left="179"/>
              <w:rPr>
                <w:sz w:val="22"/>
                <w:szCs w:val="22"/>
                <w:highlight w:val="none"/>
              </w:rPr>
            </w:pPr>
            <w:r>
              <w:rPr>
                <w:spacing w:val="-4"/>
                <w:sz w:val="22"/>
                <w:szCs w:val="22"/>
                <w:highlight w:val="none"/>
              </w:rPr>
              <w:t>350</w:t>
            </w:r>
            <w:r>
              <w:rPr>
                <w:spacing w:val="-45"/>
                <w:sz w:val="22"/>
                <w:szCs w:val="22"/>
                <w:highlight w:val="none"/>
              </w:rPr>
              <w:t xml:space="preserve"> </w:t>
            </w:r>
            <w:r>
              <w:rPr>
                <w:spacing w:val="-4"/>
                <w:sz w:val="22"/>
                <w:szCs w:val="22"/>
                <w:highlight w:val="none"/>
              </w:rPr>
              <w:t>元/㎡</w:t>
            </w:r>
          </w:p>
        </w:tc>
        <w:tc>
          <w:tcPr>
            <w:tcW w:w="600" w:type="dxa"/>
            <w:vAlign w:val="top"/>
          </w:tcPr>
          <w:p w14:paraId="31AAAD23">
            <w:pPr>
              <w:rPr>
                <w:rFonts w:ascii="Arial"/>
                <w:sz w:val="21"/>
                <w:highlight w:val="none"/>
              </w:rPr>
            </w:pPr>
          </w:p>
        </w:tc>
      </w:tr>
      <w:tr w14:paraId="1E5A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38743749">
            <w:pPr>
              <w:rPr>
                <w:rFonts w:ascii="Arial"/>
                <w:sz w:val="21"/>
                <w:highlight w:val="none"/>
              </w:rPr>
            </w:pPr>
          </w:p>
        </w:tc>
        <w:tc>
          <w:tcPr>
            <w:tcW w:w="682" w:type="dxa"/>
            <w:vMerge w:val="continue"/>
            <w:tcBorders>
              <w:top w:val="nil"/>
              <w:bottom w:val="nil"/>
            </w:tcBorders>
            <w:vAlign w:val="top"/>
          </w:tcPr>
          <w:p w14:paraId="27A1708A">
            <w:pPr>
              <w:rPr>
                <w:rFonts w:ascii="Arial"/>
                <w:sz w:val="21"/>
                <w:highlight w:val="none"/>
              </w:rPr>
            </w:pPr>
          </w:p>
        </w:tc>
        <w:tc>
          <w:tcPr>
            <w:tcW w:w="1649" w:type="dxa"/>
            <w:vMerge w:val="restart"/>
            <w:tcBorders>
              <w:bottom w:val="nil"/>
            </w:tcBorders>
            <w:vAlign w:val="top"/>
          </w:tcPr>
          <w:p w14:paraId="56517851">
            <w:pPr>
              <w:spacing w:line="252" w:lineRule="auto"/>
              <w:rPr>
                <w:rFonts w:ascii="Arial"/>
                <w:sz w:val="21"/>
                <w:highlight w:val="none"/>
              </w:rPr>
            </w:pPr>
          </w:p>
          <w:p w14:paraId="0F4FD61C">
            <w:pPr>
              <w:spacing w:line="252" w:lineRule="auto"/>
              <w:rPr>
                <w:rFonts w:ascii="Arial"/>
                <w:sz w:val="21"/>
                <w:highlight w:val="none"/>
              </w:rPr>
            </w:pPr>
          </w:p>
          <w:p w14:paraId="39EFD071">
            <w:pPr>
              <w:spacing w:line="252" w:lineRule="auto"/>
              <w:rPr>
                <w:rFonts w:ascii="Arial"/>
                <w:sz w:val="21"/>
                <w:highlight w:val="none"/>
              </w:rPr>
            </w:pPr>
          </w:p>
          <w:p w14:paraId="66885A07">
            <w:pPr>
              <w:spacing w:line="252" w:lineRule="auto"/>
              <w:rPr>
                <w:rFonts w:ascii="Arial"/>
                <w:sz w:val="21"/>
                <w:highlight w:val="none"/>
              </w:rPr>
            </w:pPr>
          </w:p>
          <w:p w14:paraId="7D1E5172">
            <w:pPr>
              <w:spacing w:line="252" w:lineRule="auto"/>
              <w:rPr>
                <w:rFonts w:ascii="Arial"/>
                <w:sz w:val="21"/>
                <w:highlight w:val="none"/>
              </w:rPr>
            </w:pPr>
          </w:p>
          <w:p w14:paraId="41989DF3">
            <w:pPr>
              <w:spacing w:line="253" w:lineRule="auto"/>
              <w:rPr>
                <w:rFonts w:ascii="Arial"/>
                <w:sz w:val="21"/>
                <w:highlight w:val="none"/>
              </w:rPr>
            </w:pPr>
          </w:p>
          <w:p w14:paraId="57966B2D">
            <w:pPr>
              <w:spacing w:line="253" w:lineRule="auto"/>
              <w:rPr>
                <w:rFonts w:ascii="Arial"/>
                <w:sz w:val="21"/>
                <w:highlight w:val="none"/>
              </w:rPr>
            </w:pPr>
          </w:p>
          <w:p w14:paraId="56520146">
            <w:pPr>
              <w:pStyle w:val="7"/>
              <w:spacing w:before="71" w:line="221" w:lineRule="auto"/>
              <w:ind w:left="282"/>
              <w:rPr>
                <w:sz w:val="22"/>
                <w:szCs w:val="22"/>
                <w:highlight w:val="none"/>
              </w:rPr>
            </w:pPr>
            <w:r>
              <w:rPr>
                <w:spacing w:val="-3"/>
                <w:sz w:val="22"/>
                <w:szCs w:val="22"/>
                <w:highlight w:val="none"/>
              </w:rPr>
              <w:t>塑钢固定窗</w:t>
            </w:r>
          </w:p>
        </w:tc>
        <w:tc>
          <w:tcPr>
            <w:tcW w:w="1622" w:type="dxa"/>
            <w:vMerge w:val="restart"/>
            <w:tcBorders>
              <w:bottom w:val="nil"/>
            </w:tcBorders>
            <w:vAlign w:val="top"/>
          </w:tcPr>
          <w:p w14:paraId="0B7C4A26">
            <w:pPr>
              <w:spacing w:line="252" w:lineRule="auto"/>
              <w:rPr>
                <w:rFonts w:ascii="Arial"/>
                <w:sz w:val="21"/>
                <w:highlight w:val="none"/>
              </w:rPr>
            </w:pPr>
          </w:p>
          <w:p w14:paraId="0F1FB969">
            <w:pPr>
              <w:spacing w:line="252" w:lineRule="auto"/>
              <w:rPr>
                <w:rFonts w:ascii="Arial"/>
                <w:sz w:val="21"/>
                <w:highlight w:val="none"/>
              </w:rPr>
            </w:pPr>
          </w:p>
          <w:p w14:paraId="7E991211">
            <w:pPr>
              <w:spacing w:line="252" w:lineRule="auto"/>
              <w:rPr>
                <w:rFonts w:ascii="Arial"/>
                <w:sz w:val="21"/>
                <w:highlight w:val="none"/>
              </w:rPr>
            </w:pPr>
          </w:p>
          <w:p w14:paraId="6DCD97B6">
            <w:pPr>
              <w:spacing w:line="252" w:lineRule="auto"/>
              <w:rPr>
                <w:rFonts w:ascii="Arial"/>
                <w:sz w:val="21"/>
                <w:highlight w:val="none"/>
              </w:rPr>
            </w:pPr>
          </w:p>
          <w:p w14:paraId="1DA7FD06">
            <w:pPr>
              <w:spacing w:line="252" w:lineRule="auto"/>
              <w:rPr>
                <w:rFonts w:ascii="Arial"/>
                <w:sz w:val="21"/>
                <w:highlight w:val="none"/>
              </w:rPr>
            </w:pPr>
          </w:p>
          <w:p w14:paraId="4AD46158">
            <w:pPr>
              <w:spacing w:line="253" w:lineRule="auto"/>
              <w:rPr>
                <w:rFonts w:ascii="Arial"/>
                <w:sz w:val="21"/>
                <w:highlight w:val="none"/>
              </w:rPr>
            </w:pPr>
          </w:p>
          <w:p w14:paraId="444DD57B">
            <w:pPr>
              <w:spacing w:line="253" w:lineRule="auto"/>
              <w:rPr>
                <w:rFonts w:ascii="Arial"/>
                <w:sz w:val="21"/>
                <w:highlight w:val="none"/>
              </w:rPr>
            </w:pPr>
          </w:p>
          <w:p w14:paraId="41B2A5B2">
            <w:pPr>
              <w:pStyle w:val="7"/>
              <w:spacing w:before="71" w:line="222" w:lineRule="auto"/>
              <w:ind w:left="188"/>
              <w:rPr>
                <w:sz w:val="22"/>
                <w:szCs w:val="22"/>
                <w:highlight w:val="none"/>
              </w:rPr>
            </w:pPr>
            <w:r>
              <w:rPr>
                <w:spacing w:val="-3"/>
                <w:sz w:val="22"/>
                <w:szCs w:val="22"/>
                <w:highlight w:val="none"/>
              </w:rPr>
              <w:t>5+9+5</w:t>
            </w:r>
            <w:r>
              <w:rPr>
                <w:spacing w:val="-44"/>
                <w:sz w:val="22"/>
                <w:szCs w:val="22"/>
                <w:highlight w:val="none"/>
              </w:rPr>
              <w:t xml:space="preserve"> </w:t>
            </w:r>
            <w:r>
              <w:rPr>
                <w:spacing w:val="-3"/>
                <w:sz w:val="22"/>
                <w:szCs w:val="22"/>
                <w:highlight w:val="none"/>
              </w:rPr>
              <w:t>双钢化</w:t>
            </w:r>
          </w:p>
        </w:tc>
        <w:tc>
          <w:tcPr>
            <w:tcW w:w="1785" w:type="dxa"/>
            <w:vMerge w:val="restart"/>
            <w:tcBorders>
              <w:bottom w:val="nil"/>
            </w:tcBorders>
            <w:vAlign w:val="top"/>
          </w:tcPr>
          <w:p w14:paraId="4AC1D529">
            <w:pPr>
              <w:spacing w:line="264" w:lineRule="auto"/>
              <w:rPr>
                <w:rFonts w:ascii="Arial"/>
                <w:sz w:val="21"/>
                <w:highlight w:val="none"/>
              </w:rPr>
            </w:pPr>
          </w:p>
          <w:p w14:paraId="4238643A">
            <w:pPr>
              <w:spacing w:line="264" w:lineRule="auto"/>
              <w:rPr>
                <w:rFonts w:ascii="Arial"/>
                <w:sz w:val="21"/>
                <w:highlight w:val="none"/>
              </w:rPr>
            </w:pPr>
          </w:p>
          <w:p w14:paraId="44D28F92">
            <w:pPr>
              <w:spacing w:line="265" w:lineRule="auto"/>
              <w:rPr>
                <w:rFonts w:ascii="Arial"/>
                <w:sz w:val="21"/>
                <w:highlight w:val="none"/>
              </w:rPr>
            </w:pPr>
          </w:p>
          <w:p w14:paraId="66C5C439">
            <w:pPr>
              <w:pStyle w:val="7"/>
              <w:spacing w:before="72" w:line="222" w:lineRule="auto"/>
              <w:ind w:left="433"/>
              <w:rPr>
                <w:sz w:val="22"/>
                <w:szCs w:val="22"/>
                <w:highlight w:val="none"/>
              </w:rPr>
            </w:pPr>
            <w:r>
              <w:rPr>
                <w:spacing w:val="-5"/>
                <w:sz w:val="22"/>
                <w:szCs w:val="22"/>
                <w:highlight w:val="none"/>
              </w:rPr>
              <w:t>60</w:t>
            </w:r>
            <w:r>
              <w:rPr>
                <w:spacing w:val="-41"/>
                <w:sz w:val="22"/>
                <w:szCs w:val="22"/>
                <w:highlight w:val="none"/>
              </w:rPr>
              <w:t xml:space="preserve"> </w:t>
            </w:r>
            <w:r>
              <w:rPr>
                <w:spacing w:val="-5"/>
                <w:sz w:val="22"/>
                <w:szCs w:val="22"/>
                <w:highlight w:val="none"/>
              </w:rPr>
              <w:t>系白色</w:t>
            </w:r>
          </w:p>
        </w:tc>
        <w:tc>
          <w:tcPr>
            <w:tcW w:w="1471" w:type="dxa"/>
            <w:vAlign w:val="top"/>
          </w:tcPr>
          <w:p w14:paraId="18DADCA7">
            <w:pPr>
              <w:pStyle w:val="7"/>
              <w:spacing w:before="58" w:line="221" w:lineRule="auto"/>
              <w:ind w:left="116"/>
              <w:rPr>
                <w:sz w:val="22"/>
                <w:szCs w:val="22"/>
                <w:highlight w:val="none"/>
              </w:rPr>
            </w:pPr>
            <w:r>
              <w:rPr>
                <w:spacing w:val="-3"/>
                <w:sz w:val="22"/>
                <w:szCs w:val="22"/>
                <w:highlight w:val="none"/>
              </w:rPr>
              <w:t>直接安装</w:t>
            </w:r>
          </w:p>
        </w:tc>
        <w:tc>
          <w:tcPr>
            <w:tcW w:w="1268" w:type="dxa"/>
            <w:vAlign w:val="top"/>
          </w:tcPr>
          <w:p w14:paraId="2D0648F9">
            <w:pPr>
              <w:pStyle w:val="7"/>
              <w:spacing w:before="58" w:line="221" w:lineRule="auto"/>
              <w:ind w:left="179"/>
              <w:rPr>
                <w:sz w:val="22"/>
                <w:szCs w:val="22"/>
                <w:highlight w:val="none"/>
              </w:rPr>
            </w:pPr>
            <w:r>
              <w:rPr>
                <w:spacing w:val="-4"/>
                <w:sz w:val="22"/>
                <w:szCs w:val="22"/>
                <w:highlight w:val="none"/>
              </w:rPr>
              <w:t>300</w:t>
            </w:r>
            <w:r>
              <w:rPr>
                <w:spacing w:val="-45"/>
                <w:sz w:val="22"/>
                <w:szCs w:val="22"/>
                <w:highlight w:val="none"/>
              </w:rPr>
              <w:t xml:space="preserve"> </w:t>
            </w:r>
            <w:r>
              <w:rPr>
                <w:spacing w:val="-4"/>
                <w:sz w:val="22"/>
                <w:szCs w:val="22"/>
                <w:highlight w:val="none"/>
              </w:rPr>
              <w:t>元/㎡</w:t>
            </w:r>
          </w:p>
        </w:tc>
        <w:tc>
          <w:tcPr>
            <w:tcW w:w="600" w:type="dxa"/>
            <w:vAlign w:val="top"/>
          </w:tcPr>
          <w:p w14:paraId="51E1088D">
            <w:pPr>
              <w:rPr>
                <w:rFonts w:ascii="Arial"/>
                <w:sz w:val="21"/>
                <w:highlight w:val="none"/>
              </w:rPr>
            </w:pPr>
          </w:p>
        </w:tc>
      </w:tr>
      <w:tr w14:paraId="45D97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45FC8F69">
            <w:pPr>
              <w:rPr>
                <w:rFonts w:ascii="Arial"/>
                <w:sz w:val="21"/>
                <w:highlight w:val="none"/>
              </w:rPr>
            </w:pPr>
          </w:p>
        </w:tc>
        <w:tc>
          <w:tcPr>
            <w:tcW w:w="682" w:type="dxa"/>
            <w:vMerge w:val="continue"/>
            <w:tcBorders>
              <w:top w:val="nil"/>
              <w:bottom w:val="nil"/>
            </w:tcBorders>
            <w:vAlign w:val="top"/>
          </w:tcPr>
          <w:p w14:paraId="1DC3195A">
            <w:pPr>
              <w:rPr>
                <w:rFonts w:ascii="Arial"/>
                <w:sz w:val="21"/>
                <w:highlight w:val="none"/>
              </w:rPr>
            </w:pPr>
          </w:p>
        </w:tc>
        <w:tc>
          <w:tcPr>
            <w:tcW w:w="1649" w:type="dxa"/>
            <w:vMerge w:val="continue"/>
            <w:tcBorders>
              <w:top w:val="nil"/>
              <w:bottom w:val="nil"/>
            </w:tcBorders>
            <w:vAlign w:val="top"/>
          </w:tcPr>
          <w:p w14:paraId="65649530">
            <w:pPr>
              <w:rPr>
                <w:rFonts w:ascii="Arial"/>
                <w:sz w:val="21"/>
                <w:highlight w:val="none"/>
              </w:rPr>
            </w:pPr>
          </w:p>
        </w:tc>
        <w:tc>
          <w:tcPr>
            <w:tcW w:w="1622" w:type="dxa"/>
            <w:vMerge w:val="continue"/>
            <w:tcBorders>
              <w:top w:val="nil"/>
              <w:bottom w:val="nil"/>
            </w:tcBorders>
            <w:vAlign w:val="top"/>
          </w:tcPr>
          <w:p w14:paraId="07269787">
            <w:pPr>
              <w:rPr>
                <w:rFonts w:ascii="Arial"/>
                <w:sz w:val="21"/>
                <w:highlight w:val="none"/>
              </w:rPr>
            </w:pPr>
          </w:p>
        </w:tc>
        <w:tc>
          <w:tcPr>
            <w:tcW w:w="1785" w:type="dxa"/>
            <w:vMerge w:val="continue"/>
            <w:tcBorders>
              <w:top w:val="nil"/>
              <w:bottom w:val="nil"/>
            </w:tcBorders>
            <w:vAlign w:val="top"/>
          </w:tcPr>
          <w:p w14:paraId="3168D537">
            <w:pPr>
              <w:rPr>
                <w:rFonts w:ascii="Arial"/>
                <w:sz w:val="21"/>
                <w:highlight w:val="none"/>
              </w:rPr>
            </w:pPr>
          </w:p>
        </w:tc>
        <w:tc>
          <w:tcPr>
            <w:tcW w:w="1471" w:type="dxa"/>
            <w:vAlign w:val="top"/>
          </w:tcPr>
          <w:p w14:paraId="2A7408EC">
            <w:pPr>
              <w:pStyle w:val="7"/>
              <w:spacing w:before="67"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333418AC">
            <w:pPr>
              <w:pStyle w:val="7"/>
              <w:spacing w:before="208" w:line="221" w:lineRule="auto"/>
              <w:ind w:left="179"/>
              <w:rPr>
                <w:sz w:val="22"/>
                <w:szCs w:val="22"/>
                <w:highlight w:val="none"/>
              </w:rPr>
            </w:pPr>
            <w:r>
              <w:rPr>
                <w:spacing w:val="-4"/>
                <w:sz w:val="22"/>
                <w:szCs w:val="22"/>
                <w:highlight w:val="none"/>
              </w:rPr>
              <w:t>306</w:t>
            </w:r>
            <w:r>
              <w:rPr>
                <w:spacing w:val="-45"/>
                <w:sz w:val="22"/>
                <w:szCs w:val="22"/>
                <w:highlight w:val="none"/>
              </w:rPr>
              <w:t xml:space="preserve"> </w:t>
            </w:r>
            <w:r>
              <w:rPr>
                <w:spacing w:val="-4"/>
                <w:sz w:val="22"/>
                <w:szCs w:val="22"/>
                <w:highlight w:val="none"/>
              </w:rPr>
              <w:t>元/㎡</w:t>
            </w:r>
          </w:p>
        </w:tc>
        <w:tc>
          <w:tcPr>
            <w:tcW w:w="600" w:type="dxa"/>
            <w:vAlign w:val="top"/>
          </w:tcPr>
          <w:p w14:paraId="1F146667">
            <w:pPr>
              <w:rPr>
                <w:rFonts w:ascii="Arial"/>
                <w:sz w:val="21"/>
                <w:highlight w:val="none"/>
              </w:rPr>
            </w:pPr>
          </w:p>
        </w:tc>
      </w:tr>
      <w:tr w14:paraId="352F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4A60CBE4">
            <w:pPr>
              <w:rPr>
                <w:rFonts w:ascii="Arial"/>
                <w:sz w:val="21"/>
                <w:highlight w:val="none"/>
              </w:rPr>
            </w:pPr>
          </w:p>
        </w:tc>
        <w:tc>
          <w:tcPr>
            <w:tcW w:w="682" w:type="dxa"/>
            <w:vMerge w:val="continue"/>
            <w:tcBorders>
              <w:top w:val="nil"/>
              <w:bottom w:val="nil"/>
            </w:tcBorders>
            <w:vAlign w:val="top"/>
          </w:tcPr>
          <w:p w14:paraId="65A01F4D">
            <w:pPr>
              <w:rPr>
                <w:rFonts w:ascii="Arial"/>
                <w:sz w:val="21"/>
                <w:highlight w:val="none"/>
              </w:rPr>
            </w:pPr>
          </w:p>
        </w:tc>
        <w:tc>
          <w:tcPr>
            <w:tcW w:w="1649" w:type="dxa"/>
            <w:vMerge w:val="continue"/>
            <w:tcBorders>
              <w:top w:val="nil"/>
              <w:bottom w:val="nil"/>
            </w:tcBorders>
            <w:vAlign w:val="top"/>
          </w:tcPr>
          <w:p w14:paraId="71B3B0DA">
            <w:pPr>
              <w:rPr>
                <w:rFonts w:ascii="Arial"/>
                <w:sz w:val="21"/>
                <w:highlight w:val="none"/>
              </w:rPr>
            </w:pPr>
          </w:p>
        </w:tc>
        <w:tc>
          <w:tcPr>
            <w:tcW w:w="1622" w:type="dxa"/>
            <w:vMerge w:val="continue"/>
            <w:tcBorders>
              <w:top w:val="nil"/>
              <w:bottom w:val="nil"/>
            </w:tcBorders>
            <w:vAlign w:val="top"/>
          </w:tcPr>
          <w:p w14:paraId="02B4AC5F">
            <w:pPr>
              <w:rPr>
                <w:rFonts w:ascii="Arial"/>
                <w:sz w:val="21"/>
                <w:highlight w:val="none"/>
              </w:rPr>
            </w:pPr>
          </w:p>
        </w:tc>
        <w:tc>
          <w:tcPr>
            <w:tcW w:w="1785" w:type="dxa"/>
            <w:vMerge w:val="continue"/>
            <w:tcBorders>
              <w:top w:val="nil"/>
              <w:bottom w:val="nil"/>
            </w:tcBorders>
            <w:vAlign w:val="top"/>
          </w:tcPr>
          <w:p w14:paraId="733BD379">
            <w:pPr>
              <w:rPr>
                <w:rFonts w:ascii="Arial"/>
                <w:sz w:val="21"/>
                <w:highlight w:val="none"/>
              </w:rPr>
            </w:pPr>
          </w:p>
        </w:tc>
        <w:tc>
          <w:tcPr>
            <w:tcW w:w="1471" w:type="dxa"/>
            <w:vAlign w:val="top"/>
          </w:tcPr>
          <w:p w14:paraId="4B9B518C">
            <w:pPr>
              <w:pStyle w:val="7"/>
              <w:spacing w:before="209" w:line="220" w:lineRule="auto"/>
              <w:ind w:left="116"/>
              <w:rPr>
                <w:sz w:val="22"/>
                <w:szCs w:val="22"/>
                <w:highlight w:val="none"/>
              </w:rPr>
            </w:pPr>
            <w:r>
              <w:rPr>
                <w:spacing w:val="-2"/>
                <w:sz w:val="22"/>
                <w:szCs w:val="22"/>
                <w:highlight w:val="none"/>
              </w:rPr>
              <w:t>蜘蛛人辅助</w:t>
            </w:r>
          </w:p>
        </w:tc>
        <w:tc>
          <w:tcPr>
            <w:tcW w:w="1268" w:type="dxa"/>
            <w:vAlign w:val="top"/>
          </w:tcPr>
          <w:p w14:paraId="090B2B34">
            <w:pPr>
              <w:pStyle w:val="7"/>
              <w:spacing w:before="208" w:line="221" w:lineRule="auto"/>
              <w:ind w:left="179"/>
              <w:rPr>
                <w:sz w:val="22"/>
                <w:szCs w:val="22"/>
                <w:highlight w:val="none"/>
              </w:rPr>
            </w:pPr>
            <w:r>
              <w:rPr>
                <w:spacing w:val="-4"/>
                <w:sz w:val="22"/>
                <w:szCs w:val="22"/>
                <w:highlight w:val="none"/>
              </w:rPr>
              <w:t>350</w:t>
            </w:r>
            <w:r>
              <w:rPr>
                <w:spacing w:val="-45"/>
                <w:sz w:val="22"/>
                <w:szCs w:val="22"/>
                <w:highlight w:val="none"/>
              </w:rPr>
              <w:t xml:space="preserve"> </w:t>
            </w:r>
            <w:r>
              <w:rPr>
                <w:spacing w:val="-4"/>
                <w:sz w:val="22"/>
                <w:szCs w:val="22"/>
                <w:highlight w:val="none"/>
              </w:rPr>
              <w:t>元/㎡</w:t>
            </w:r>
          </w:p>
        </w:tc>
        <w:tc>
          <w:tcPr>
            <w:tcW w:w="600" w:type="dxa"/>
            <w:vAlign w:val="top"/>
          </w:tcPr>
          <w:p w14:paraId="5B1ACBEB">
            <w:pPr>
              <w:rPr>
                <w:rFonts w:ascii="Arial"/>
                <w:sz w:val="21"/>
                <w:highlight w:val="none"/>
              </w:rPr>
            </w:pPr>
          </w:p>
        </w:tc>
      </w:tr>
      <w:tr w14:paraId="3A60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6EFE2F01">
            <w:pPr>
              <w:rPr>
                <w:rFonts w:ascii="Arial"/>
                <w:sz w:val="21"/>
                <w:highlight w:val="none"/>
              </w:rPr>
            </w:pPr>
          </w:p>
        </w:tc>
        <w:tc>
          <w:tcPr>
            <w:tcW w:w="682" w:type="dxa"/>
            <w:vMerge w:val="continue"/>
            <w:tcBorders>
              <w:top w:val="nil"/>
              <w:bottom w:val="nil"/>
            </w:tcBorders>
            <w:vAlign w:val="top"/>
          </w:tcPr>
          <w:p w14:paraId="2C909C38">
            <w:pPr>
              <w:rPr>
                <w:rFonts w:ascii="Arial"/>
                <w:sz w:val="21"/>
                <w:highlight w:val="none"/>
              </w:rPr>
            </w:pPr>
          </w:p>
        </w:tc>
        <w:tc>
          <w:tcPr>
            <w:tcW w:w="1649" w:type="dxa"/>
            <w:vMerge w:val="continue"/>
            <w:tcBorders>
              <w:top w:val="nil"/>
              <w:bottom w:val="nil"/>
            </w:tcBorders>
            <w:vAlign w:val="top"/>
          </w:tcPr>
          <w:p w14:paraId="70A5B982">
            <w:pPr>
              <w:rPr>
                <w:rFonts w:ascii="Arial"/>
                <w:sz w:val="21"/>
                <w:highlight w:val="none"/>
              </w:rPr>
            </w:pPr>
          </w:p>
        </w:tc>
        <w:tc>
          <w:tcPr>
            <w:tcW w:w="1622" w:type="dxa"/>
            <w:vMerge w:val="continue"/>
            <w:tcBorders>
              <w:top w:val="nil"/>
              <w:bottom w:val="nil"/>
            </w:tcBorders>
            <w:vAlign w:val="top"/>
          </w:tcPr>
          <w:p w14:paraId="25D2D77B">
            <w:pPr>
              <w:rPr>
                <w:rFonts w:ascii="Arial"/>
                <w:sz w:val="21"/>
                <w:highlight w:val="none"/>
              </w:rPr>
            </w:pPr>
          </w:p>
        </w:tc>
        <w:tc>
          <w:tcPr>
            <w:tcW w:w="1785" w:type="dxa"/>
            <w:vMerge w:val="continue"/>
            <w:tcBorders>
              <w:top w:val="nil"/>
            </w:tcBorders>
            <w:vAlign w:val="top"/>
          </w:tcPr>
          <w:p w14:paraId="4D372395">
            <w:pPr>
              <w:rPr>
                <w:rFonts w:ascii="Arial"/>
                <w:sz w:val="21"/>
                <w:highlight w:val="none"/>
              </w:rPr>
            </w:pPr>
          </w:p>
        </w:tc>
        <w:tc>
          <w:tcPr>
            <w:tcW w:w="1471" w:type="dxa"/>
            <w:vAlign w:val="top"/>
          </w:tcPr>
          <w:p w14:paraId="7931F192">
            <w:pPr>
              <w:pStyle w:val="7"/>
              <w:spacing w:before="58" w:line="221" w:lineRule="auto"/>
              <w:ind w:left="141"/>
              <w:rPr>
                <w:sz w:val="22"/>
                <w:szCs w:val="22"/>
                <w:highlight w:val="none"/>
              </w:rPr>
            </w:pPr>
            <w:r>
              <w:rPr>
                <w:spacing w:val="-9"/>
                <w:sz w:val="22"/>
                <w:szCs w:val="22"/>
                <w:highlight w:val="none"/>
              </w:rPr>
              <w:t>吊篮辅助</w:t>
            </w:r>
          </w:p>
        </w:tc>
        <w:tc>
          <w:tcPr>
            <w:tcW w:w="1268" w:type="dxa"/>
            <w:vAlign w:val="top"/>
          </w:tcPr>
          <w:p w14:paraId="1B02C51F">
            <w:pPr>
              <w:pStyle w:val="7"/>
              <w:spacing w:before="58" w:line="221" w:lineRule="auto"/>
              <w:ind w:left="179"/>
              <w:rPr>
                <w:sz w:val="22"/>
                <w:szCs w:val="22"/>
                <w:highlight w:val="none"/>
              </w:rPr>
            </w:pPr>
            <w:r>
              <w:rPr>
                <w:spacing w:val="-4"/>
                <w:sz w:val="22"/>
                <w:szCs w:val="22"/>
                <w:highlight w:val="none"/>
              </w:rPr>
              <w:t>310</w:t>
            </w:r>
            <w:r>
              <w:rPr>
                <w:spacing w:val="-45"/>
                <w:sz w:val="22"/>
                <w:szCs w:val="22"/>
                <w:highlight w:val="none"/>
              </w:rPr>
              <w:t xml:space="preserve"> </w:t>
            </w:r>
            <w:r>
              <w:rPr>
                <w:spacing w:val="-4"/>
                <w:sz w:val="22"/>
                <w:szCs w:val="22"/>
                <w:highlight w:val="none"/>
              </w:rPr>
              <w:t>元/㎡</w:t>
            </w:r>
          </w:p>
        </w:tc>
        <w:tc>
          <w:tcPr>
            <w:tcW w:w="600" w:type="dxa"/>
            <w:vAlign w:val="top"/>
          </w:tcPr>
          <w:p w14:paraId="1AAE5896">
            <w:pPr>
              <w:rPr>
                <w:rFonts w:ascii="Arial"/>
                <w:sz w:val="21"/>
                <w:highlight w:val="none"/>
              </w:rPr>
            </w:pPr>
          </w:p>
        </w:tc>
      </w:tr>
      <w:tr w14:paraId="19DC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371019F0">
            <w:pPr>
              <w:rPr>
                <w:rFonts w:ascii="Arial"/>
                <w:sz w:val="21"/>
                <w:highlight w:val="none"/>
              </w:rPr>
            </w:pPr>
          </w:p>
        </w:tc>
        <w:tc>
          <w:tcPr>
            <w:tcW w:w="682" w:type="dxa"/>
            <w:vMerge w:val="continue"/>
            <w:tcBorders>
              <w:top w:val="nil"/>
              <w:bottom w:val="nil"/>
            </w:tcBorders>
            <w:vAlign w:val="top"/>
          </w:tcPr>
          <w:p w14:paraId="77384CC0">
            <w:pPr>
              <w:rPr>
                <w:rFonts w:ascii="Arial"/>
                <w:sz w:val="21"/>
                <w:highlight w:val="none"/>
              </w:rPr>
            </w:pPr>
          </w:p>
        </w:tc>
        <w:tc>
          <w:tcPr>
            <w:tcW w:w="1649" w:type="dxa"/>
            <w:vMerge w:val="continue"/>
            <w:tcBorders>
              <w:top w:val="nil"/>
              <w:bottom w:val="nil"/>
            </w:tcBorders>
            <w:vAlign w:val="top"/>
          </w:tcPr>
          <w:p w14:paraId="67A797AE">
            <w:pPr>
              <w:rPr>
                <w:rFonts w:ascii="Arial"/>
                <w:sz w:val="21"/>
                <w:highlight w:val="none"/>
              </w:rPr>
            </w:pPr>
          </w:p>
        </w:tc>
        <w:tc>
          <w:tcPr>
            <w:tcW w:w="1622" w:type="dxa"/>
            <w:vMerge w:val="continue"/>
            <w:tcBorders>
              <w:top w:val="nil"/>
              <w:bottom w:val="nil"/>
            </w:tcBorders>
            <w:vAlign w:val="top"/>
          </w:tcPr>
          <w:p w14:paraId="46CE12B4">
            <w:pPr>
              <w:rPr>
                <w:rFonts w:ascii="Arial"/>
                <w:sz w:val="21"/>
                <w:highlight w:val="none"/>
              </w:rPr>
            </w:pPr>
          </w:p>
        </w:tc>
        <w:tc>
          <w:tcPr>
            <w:tcW w:w="1785" w:type="dxa"/>
            <w:vMerge w:val="restart"/>
            <w:tcBorders>
              <w:bottom w:val="nil"/>
            </w:tcBorders>
            <w:vAlign w:val="top"/>
          </w:tcPr>
          <w:p w14:paraId="70D3D315">
            <w:pPr>
              <w:spacing w:line="264" w:lineRule="auto"/>
              <w:rPr>
                <w:rFonts w:ascii="Arial"/>
                <w:sz w:val="21"/>
                <w:highlight w:val="none"/>
              </w:rPr>
            </w:pPr>
          </w:p>
          <w:p w14:paraId="6D0A43B4">
            <w:pPr>
              <w:spacing w:line="264" w:lineRule="auto"/>
              <w:rPr>
                <w:rFonts w:ascii="Arial"/>
                <w:sz w:val="21"/>
                <w:highlight w:val="none"/>
              </w:rPr>
            </w:pPr>
          </w:p>
          <w:p w14:paraId="4FDCE579">
            <w:pPr>
              <w:spacing w:line="264" w:lineRule="auto"/>
              <w:rPr>
                <w:rFonts w:ascii="Arial"/>
                <w:sz w:val="21"/>
                <w:highlight w:val="none"/>
              </w:rPr>
            </w:pPr>
          </w:p>
          <w:p w14:paraId="4563C8BC">
            <w:pPr>
              <w:pStyle w:val="7"/>
              <w:spacing w:before="71" w:line="219" w:lineRule="auto"/>
              <w:ind w:left="245"/>
              <w:rPr>
                <w:sz w:val="22"/>
                <w:szCs w:val="22"/>
                <w:highlight w:val="none"/>
              </w:rPr>
            </w:pPr>
            <w:r>
              <w:rPr>
                <w:spacing w:val="-3"/>
                <w:sz w:val="22"/>
                <w:szCs w:val="22"/>
                <w:highlight w:val="none"/>
              </w:rPr>
              <w:t>（不含型材）</w:t>
            </w:r>
          </w:p>
        </w:tc>
        <w:tc>
          <w:tcPr>
            <w:tcW w:w="1471" w:type="dxa"/>
            <w:vAlign w:val="top"/>
          </w:tcPr>
          <w:p w14:paraId="2BDC27B0">
            <w:pPr>
              <w:pStyle w:val="7"/>
              <w:spacing w:before="59" w:line="221" w:lineRule="auto"/>
              <w:ind w:left="116"/>
              <w:rPr>
                <w:sz w:val="22"/>
                <w:szCs w:val="22"/>
                <w:highlight w:val="none"/>
              </w:rPr>
            </w:pPr>
            <w:r>
              <w:rPr>
                <w:spacing w:val="-3"/>
                <w:sz w:val="22"/>
                <w:szCs w:val="22"/>
                <w:highlight w:val="none"/>
              </w:rPr>
              <w:t>直接安装</w:t>
            </w:r>
          </w:p>
        </w:tc>
        <w:tc>
          <w:tcPr>
            <w:tcW w:w="1268" w:type="dxa"/>
            <w:vAlign w:val="top"/>
          </w:tcPr>
          <w:p w14:paraId="7FF1C235">
            <w:pPr>
              <w:pStyle w:val="7"/>
              <w:spacing w:before="59" w:line="221" w:lineRule="auto"/>
              <w:ind w:left="178"/>
              <w:rPr>
                <w:sz w:val="22"/>
                <w:szCs w:val="22"/>
                <w:highlight w:val="none"/>
              </w:rPr>
            </w:pPr>
            <w:r>
              <w:rPr>
                <w:spacing w:val="-4"/>
                <w:sz w:val="22"/>
                <w:szCs w:val="22"/>
                <w:highlight w:val="none"/>
              </w:rPr>
              <w:t>240</w:t>
            </w:r>
            <w:r>
              <w:rPr>
                <w:spacing w:val="-43"/>
                <w:sz w:val="22"/>
                <w:szCs w:val="22"/>
                <w:highlight w:val="none"/>
              </w:rPr>
              <w:t xml:space="preserve"> </w:t>
            </w:r>
            <w:r>
              <w:rPr>
                <w:spacing w:val="-4"/>
                <w:sz w:val="22"/>
                <w:szCs w:val="22"/>
                <w:highlight w:val="none"/>
              </w:rPr>
              <w:t>元/㎡</w:t>
            </w:r>
          </w:p>
        </w:tc>
        <w:tc>
          <w:tcPr>
            <w:tcW w:w="600" w:type="dxa"/>
            <w:vAlign w:val="top"/>
          </w:tcPr>
          <w:p w14:paraId="2154AC41">
            <w:pPr>
              <w:rPr>
                <w:rFonts w:ascii="Arial"/>
                <w:sz w:val="21"/>
                <w:highlight w:val="none"/>
              </w:rPr>
            </w:pPr>
          </w:p>
        </w:tc>
      </w:tr>
      <w:tr w14:paraId="2F92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0E4CFEB4">
            <w:pPr>
              <w:rPr>
                <w:rFonts w:ascii="Arial"/>
                <w:sz w:val="21"/>
                <w:highlight w:val="none"/>
              </w:rPr>
            </w:pPr>
          </w:p>
        </w:tc>
        <w:tc>
          <w:tcPr>
            <w:tcW w:w="682" w:type="dxa"/>
            <w:vMerge w:val="continue"/>
            <w:tcBorders>
              <w:top w:val="nil"/>
              <w:bottom w:val="nil"/>
            </w:tcBorders>
            <w:vAlign w:val="top"/>
          </w:tcPr>
          <w:p w14:paraId="795B7799">
            <w:pPr>
              <w:rPr>
                <w:rFonts w:ascii="Arial"/>
                <w:sz w:val="21"/>
                <w:highlight w:val="none"/>
              </w:rPr>
            </w:pPr>
          </w:p>
        </w:tc>
        <w:tc>
          <w:tcPr>
            <w:tcW w:w="1649" w:type="dxa"/>
            <w:vMerge w:val="continue"/>
            <w:tcBorders>
              <w:top w:val="nil"/>
              <w:bottom w:val="nil"/>
            </w:tcBorders>
            <w:vAlign w:val="top"/>
          </w:tcPr>
          <w:p w14:paraId="13233E16">
            <w:pPr>
              <w:rPr>
                <w:rFonts w:ascii="Arial"/>
                <w:sz w:val="21"/>
                <w:highlight w:val="none"/>
              </w:rPr>
            </w:pPr>
          </w:p>
        </w:tc>
        <w:tc>
          <w:tcPr>
            <w:tcW w:w="1622" w:type="dxa"/>
            <w:vMerge w:val="continue"/>
            <w:tcBorders>
              <w:top w:val="nil"/>
              <w:bottom w:val="nil"/>
            </w:tcBorders>
            <w:vAlign w:val="top"/>
          </w:tcPr>
          <w:p w14:paraId="6C8A2D8A">
            <w:pPr>
              <w:rPr>
                <w:rFonts w:ascii="Arial"/>
                <w:sz w:val="21"/>
                <w:highlight w:val="none"/>
              </w:rPr>
            </w:pPr>
          </w:p>
        </w:tc>
        <w:tc>
          <w:tcPr>
            <w:tcW w:w="1785" w:type="dxa"/>
            <w:vMerge w:val="continue"/>
            <w:tcBorders>
              <w:top w:val="nil"/>
              <w:bottom w:val="nil"/>
            </w:tcBorders>
            <w:vAlign w:val="top"/>
          </w:tcPr>
          <w:p w14:paraId="2B3C1AEF">
            <w:pPr>
              <w:rPr>
                <w:rFonts w:ascii="Arial"/>
                <w:sz w:val="21"/>
                <w:highlight w:val="none"/>
              </w:rPr>
            </w:pPr>
          </w:p>
        </w:tc>
        <w:tc>
          <w:tcPr>
            <w:tcW w:w="1471" w:type="dxa"/>
            <w:vAlign w:val="top"/>
          </w:tcPr>
          <w:p w14:paraId="22025F4E">
            <w:pPr>
              <w:pStyle w:val="7"/>
              <w:spacing w:before="65"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705AB175">
            <w:pPr>
              <w:pStyle w:val="7"/>
              <w:spacing w:before="208" w:line="221" w:lineRule="auto"/>
              <w:ind w:left="178"/>
              <w:rPr>
                <w:sz w:val="22"/>
                <w:szCs w:val="22"/>
                <w:highlight w:val="none"/>
              </w:rPr>
            </w:pPr>
            <w:r>
              <w:rPr>
                <w:spacing w:val="-4"/>
                <w:sz w:val="22"/>
                <w:szCs w:val="22"/>
                <w:highlight w:val="none"/>
              </w:rPr>
              <w:t>246</w:t>
            </w:r>
            <w:r>
              <w:rPr>
                <w:spacing w:val="-43"/>
                <w:sz w:val="22"/>
                <w:szCs w:val="22"/>
                <w:highlight w:val="none"/>
              </w:rPr>
              <w:t xml:space="preserve"> </w:t>
            </w:r>
            <w:r>
              <w:rPr>
                <w:spacing w:val="-4"/>
                <w:sz w:val="22"/>
                <w:szCs w:val="22"/>
                <w:highlight w:val="none"/>
              </w:rPr>
              <w:t>元/㎡</w:t>
            </w:r>
          </w:p>
        </w:tc>
        <w:tc>
          <w:tcPr>
            <w:tcW w:w="600" w:type="dxa"/>
            <w:vAlign w:val="top"/>
          </w:tcPr>
          <w:p w14:paraId="5C86D366">
            <w:pPr>
              <w:rPr>
                <w:rFonts w:ascii="Arial"/>
                <w:sz w:val="21"/>
                <w:highlight w:val="none"/>
              </w:rPr>
            </w:pPr>
          </w:p>
        </w:tc>
      </w:tr>
      <w:tr w14:paraId="41C1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tcBorders>
              <w:top w:val="nil"/>
              <w:bottom w:val="nil"/>
            </w:tcBorders>
            <w:vAlign w:val="top"/>
          </w:tcPr>
          <w:p w14:paraId="2BC2212C">
            <w:pPr>
              <w:rPr>
                <w:rFonts w:ascii="Arial"/>
                <w:sz w:val="21"/>
                <w:highlight w:val="none"/>
              </w:rPr>
            </w:pPr>
          </w:p>
        </w:tc>
        <w:tc>
          <w:tcPr>
            <w:tcW w:w="682" w:type="dxa"/>
            <w:vMerge w:val="continue"/>
            <w:tcBorders>
              <w:top w:val="nil"/>
              <w:bottom w:val="nil"/>
            </w:tcBorders>
            <w:vAlign w:val="top"/>
          </w:tcPr>
          <w:p w14:paraId="3CACBEED">
            <w:pPr>
              <w:rPr>
                <w:rFonts w:ascii="Arial"/>
                <w:sz w:val="21"/>
                <w:highlight w:val="none"/>
              </w:rPr>
            </w:pPr>
          </w:p>
        </w:tc>
        <w:tc>
          <w:tcPr>
            <w:tcW w:w="1649" w:type="dxa"/>
            <w:vMerge w:val="continue"/>
            <w:tcBorders>
              <w:top w:val="nil"/>
              <w:bottom w:val="nil"/>
            </w:tcBorders>
            <w:vAlign w:val="top"/>
          </w:tcPr>
          <w:p w14:paraId="46419810">
            <w:pPr>
              <w:rPr>
                <w:rFonts w:ascii="Arial"/>
                <w:sz w:val="21"/>
                <w:highlight w:val="none"/>
              </w:rPr>
            </w:pPr>
          </w:p>
        </w:tc>
        <w:tc>
          <w:tcPr>
            <w:tcW w:w="1622" w:type="dxa"/>
            <w:vMerge w:val="continue"/>
            <w:tcBorders>
              <w:top w:val="nil"/>
              <w:bottom w:val="nil"/>
            </w:tcBorders>
            <w:vAlign w:val="top"/>
          </w:tcPr>
          <w:p w14:paraId="7515854E">
            <w:pPr>
              <w:rPr>
                <w:rFonts w:ascii="Arial"/>
                <w:sz w:val="21"/>
                <w:highlight w:val="none"/>
              </w:rPr>
            </w:pPr>
          </w:p>
        </w:tc>
        <w:tc>
          <w:tcPr>
            <w:tcW w:w="1785" w:type="dxa"/>
            <w:vMerge w:val="continue"/>
            <w:tcBorders>
              <w:top w:val="nil"/>
              <w:bottom w:val="nil"/>
            </w:tcBorders>
            <w:vAlign w:val="top"/>
          </w:tcPr>
          <w:p w14:paraId="5D8A4A57">
            <w:pPr>
              <w:rPr>
                <w:rFonts w:ascii="Arial"/>
                <w:sz w:val="21"/>
                <w:highlight w:val="none"/>
              </w:rPr>
            </w:pPr>
          </w:p>
        </w:tc>
        <w:tc>
          <w:tcPr>
            <w:tcW w:w="1471" w:type="dxa"/>
            <w:vAlign w:val="top"/>
          </w:tcPr>
          <w:p w14:paraId="34B94142">
            <w:pPr>
              <w:pStyle w:val="7"/>
              <w:spacing w:before="209" w:line="220" w:lineRule="auto"/>
              <w:ind w:left="116"/>
              <w:rPr>
                <w:sz w:val="22"/>
                <w:szCs w:val="22"/>
                <w:highlight w:val="none"/>
              </w:rPr>
            </w:pPr>
            <w:r>
              <w:rPr>
                <w:spacing w:val="-2"/>
                <w:sz w:val="22"/>
                <w:szCs w:val="22"/>
                <w:highlight w:val="none"/>
              </w:rPr>
              <w:t>蜘蛛人辅助</w:t>
            </w:r>
          </w:p>
        </w:tc>
        <w:tc>
          <w:tcPr>
            <w:tcW w:w="1268" w:type="dxa"/>
            <w:vAlign w:val="top"/>
          </w:tcPr>
          <w:p w14:paraId="5A8D3770">
            <w:pPr>
              <w:pStyle w:val="7"/>
              <w:spacing w:before="209" w:line="221" w:lineRule="auto"/>
              <w:ind w:left="178"/>
              <w:rPr>
                <w:sz w:val="22"/>
                <w:szCs w:val="22"/>
                <w:highlight w:val="none"/>
              </w:rPr>
            </w:pPr>
            <w:r>
              <w:rPr>
                <w:spacing w:val="-4"/>
                <w:sz w:val="22"/>
                <w:szCs w:val="22"/>
                <w:highlight w:val="none"/>
              </w:rPr>
              <w:t>290</w:t>
            </w:r>
            <w:r>
              <w:rPr>
                <w:spacing w:val="-43"/>
                <w:sz w:val="22"/>
                <w:szCs w:val="22"/>
                <w:highlight w:val="none"/>
              </w:rPr>
              <w:t xml:space="preserve"> </w:t>
            </w:r>
            <w:r>
              <w:rPr>
                <w:spacing w:val="-4"/>
                <w:sz w:val="22"/>
                <w:szCs w:val="22"/>
                <w:highlight w:val="none"/>
              </w:rPr>
              <w:t>元/㎡</w:t>
            </w:r>
          </w:p>
        </w:tc>
        <w:tc>
          <w:tcPr>
            <w:tcW w:w="600" w:type="dxa"/>
            <w:vAlign w:val="top"/>
          </w:tcPr>
          <w:p w14:paraId="0720AEFD">
            <w:pPr>
              <w:rPr>
                <w:rFonts w:ascii="Arial"/>
                <w:sz w:val="21"/>
                <w:highlight w:val="none"/>
              </w:rPr>
            </w:pPr>
          </w:p>
        </w:tc>
      </w:tr>
      <w:tr w14:paraId="755C9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tcBorders>
              <w:top w:val="nil"/>
              <w:bottom w:val="nil"/>
            </w:tcBorders>
            <w:vAlign w:val="top"/>
          </w:tcPr>
          <w:p w14:paraId="5A0A2E92">
            <w:pPr>
              <w:rPr>
                <w:rFonts w:ascii="Arial"/>
                <w:sz w:val="21"/>
                <w:highlight w:val="none"/>
              </w:rPr>
            </w:pPr>
          </w:p>
        </w:tc>
        <w:tc>
          <w:tcPr>
            <w:tcW w:w="682" w:type="dxa"/>
            <w:vMerge w:val="continue"/>
            <w:tcBorders>
              <w:top w:val="nil"/>
              <w:bottom w:val="nil"/>
            </w:tcBorders>
            <w:vAlign w:val="top"/>
          </w:tcPr>
          <w:p w14:paraId="7637F214">
            <w:pPr>
              <w:rPr>
                <w:rFonts w:ascii="Arial"/>
                <w:sz w:val="21"/>
                <w:highlight w:val="none"/>
              </w:rPr>
            </w:pPr>
          </w:p>
        </w:tc>
        <w:tc>
          <w:tcPr>
            <w:tcW w:w="1649" w:type="dxa"/>
            <w:vMerge w:val="continue"/>
            <w:tcBorders>
              <w:top w:val="nil"/>
            </w:tcBorders>
            <w:vAlign w:val="top"/>
          </w:tcPr>
          <w:p w14:paraId="24FC0EF7">
            <w:pPr>
              <w:rPr>
                <w:rFonts w:ascii="Arial"/>
                <w:sz w:val="21"/>
                <w:highlight w:val="none"/>
              </w:rPr>
            </w:pPr>
          </w:p>
        </w:tc>
        <w:tc>
          <w:tcPr>
            <w:tcW w:w="1622" w:type="dxa"/>
            <w:vMerge w:val="continue"/>
            <w:tcBorders>
              <w:top w:val="nil"/>
            </w:tcBorders>
            <w:vAlign w:val="top"/>
          </w:tcPr>
          <w:p w14:paraId="0CE821BE">
            <w:pPr>
              <w:rPr>
                <w:rFonts w:ascii="Arial"/>
                <w:sz w:val="21"/>
                <w:highlight w:val="none"/>
              </w:rPr>
            </w:pPr>
          </w:p>
        </w:tc>
        <w:tc>
          <w:tcPr>
            <w:tcW w:w="1785" w:type="dxa"/>
            <w:vMerge w:val="continue"/>
            <w:tcBorders>
              <w:top w:val="nil"/>
            </w:tcBorders>
            <w:vAlign w:val="top"/>
          </w:tcPr>
          <w:p w14:paraId="0156ED88">
            <w:pPr>
              <w:rPr>
                <w:rFonts w:ascii="Arial"/>
                <w:sz w:val="21"/>
                <w:highlight w:val="none"/>
              </w:rPr>
            </w:pPr>
          </w:p>
        </w:tc>
        <w:tc>
          <w:tcPr>
            <w:tcW w:w="1471" w:type="dxa"/>
            <w:vAlign w:val="top"/>
          </w:tcPr>
          <w:p w14:paraId="63789141">
            <w:pPr>
              <w:pStyle w:val="7"/>
              <w:spacing w:before="59" w:line="221" w:lineRule="auto"/>
              <w:ind w:left="141"/>
              <w:rPr>
                <w:sz w:val="22"/>
                <w:szCs w:val="22"/>
                <w:highlight w:val="none"/>
              </w:rPr>
            </w:pPr>
            <w:r>
              <w:rPr>
                <w:spacing w:val="-9"/>
                <w:sz w:val="22"/>
                <w:szCs w:val="22"/>
                <w:highlight w:val="none"/>
              </w:rPr>
              <w:t>吊篮辅助</w:t>
            </w:r>
          </w:p>
        </w:tc>
        <w:tc>
          <w:tcPr>
            <w:tcW w:w="1268" w:type="dxa"/>
            <w:vAlign w:val="top"/>
          </w:tcPr>
          <w:p w14:paraId="41CC5384">
            <w:pPr>
              <w:pStyle w:val="7"/>
              <w:spacing w:before="59" w:line="221" w:lineRule="auto"/>
              <w:ind w:left="178"/>
              <w:rPr>
                <w:sz w:val="22"/>
                <w:szCs w:val="22"/>
                <w:highlight w:val="none"/>
              </w:rPr>
            </w:pPr>
            <w:r>
              <w:rPr>
                <w:spacing w:val="-4"/>
                <w:sz w:val="22"/>
                <w:szCs w:val="22"/>
                <w:highlight w:val="none"/>
              </w:rPr>
              <w:t>250</w:t>
            </w:r>
            <w:r>
              <w:rPr>
                <w:spacing w:val="-43"/>
                <w:sz w:val="22"/>
                <w:szCs w:val="22"/>
                <w:highlight w:val="none"/>
              </w:rPr>
              <w:t xml:space="preserve"> </w:t>
            </w:r>
            <w:r>
              <w:rPr>
                <w:spacing w:val="-4"/>
                <w:sz w:val="22"/>
                <w:szCs w:val="22"/>
                <w:highlight w:val="none"/>
              </w:rPr>
              <w:t>元/㎡</w:t>
            </w:r>
          </w:p>
        </w:tc>
        <w:tc>
          <w:tcPr>
            <w:tcW w:w="600" w:type="dxa"/>
            <w:vAlign w:val="top"/>
          </w:tcPr>
          <w:p w14:paraId="36644355">
            <w:pPr>
              <w:rPr>
                <w:rFonts w:ascii="Arial"/>
                <w:sz w:val="21"/>
                <w:highlight w:val="none"/>
              </w:rPr>
            </w:pPr>
          </w:p>
        </w:tc>
      </w:tr>
      <w:tr w14:paraId="579C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69" w:type="dxa"/>
            <w:vMerge w:val="continue"/>
            <w:tcBorders>
              <w:top w:val="nil"/>
            </w:tcBorders>
            <w:vAlign w:val="top"/>
          </w:tcPr>
          <w:p w14:paraId="60D4BE5C">
            <w:pPr>
              <w:rPr>
                <w:rFonts w:ascii="Arial"/>
                <w:sz w:val="21"/>
                <w:highlight w:val="none"/>
              </w:rPr>
            </w:pPr>
          </w:p>
        </w:tc>
        <w:tc>
          <w:tcPr>
            <w:tcW w:w="682" w:type="dxa"/>
            <w:vMerge w:val="continue"/>
            <w:tcBorders>
              <w:top w:val="nil"/>
            </w:tcBorders>
            <w:vAlign w:val="top"/>
          </w:tcPr>
          <w:p w14:paraId="1619968D">
            <w:pPr>
              <w:rPr>
                <w:rFonts w:ascii="Arial"/>
                <w:sz w:val="21"/>
                <w:highlight w:val="none"/>
              </w:rPr>
            </w:pPr>
          </w:p>
        </w:tc>
        <w:tc>
          <w:tcPr>
            <w:tcW w:w="1649" w:type="dxa"/>
            <w:vAlign w:val="top"/>
          </w:tcPr>
          <w:p w14:paraId="60552CE9">
            <w:pPr>
              <w:pStyle w:val="7"/>
              <w:spacing w:before="60" w:line="221" w:lineRule="auto"/>
              <w:ind w:left="168"/>
              <w:rPr>
                <w:sz w:val="22"/>
                <w:szCs w:val="22"/>
                <w:highlight w:val="none"/>
              </w:rPr>
            </w:pPr>
            <w:r>
              <w:rPr>
                <w:spacing w:val="-2"/>
                <w:sz w:val="22"/>
                <w:szCs w:val="22"/>
                <w:highlight w:val="none"/>
              </w:rPr>
              <w:t>铝合金平开窗</w:t>
            </w:r>
          </w:p>
        </w:tc>
        <w:tc>
          <w:tcPr>
            <w:tcW w:w="1622" w:type="dxa"/>
            <w:vAlign w:val="top"/>
          </w:tcPr>
          <w:p w14:paraId="224A50FD">
            <w:pPr>
              <w:pStyle w:val="7"/>
              <w:spacing w:before="59" w:line="222" w:lineRule="auto"/>
              <w:ind w:left="130"/>
              <w:rPr>
                <w:sz w:val="22"/>
                <w:szCs w:val="22"/>
                <w:highlight w:val="none"/>
              </w:rPr>
            </w:pPr>
            <w:r>
              <w:rPr>
                <w:spacing w:val="-2"/>
                <w:sz w:val="22"/>
                <w:szCs w:val="22"/>
                <w:highlight w:val="none"/>
              </w:rPr>
              <w:t>6+12+6</w:t>
            </w:r>
            <w:r>
              <w:rPr>
                <w:spacing w:val="-47"/>
                <w:sz w:val="22"/>
                <w:szCs w:val="22"/>
                <w:highlight w:val="none"/>
              </w:rPr>
              <w:t xml:space="preserve"> </w:t>
            </w:r>
            <w:r>
              <w:rPr>
                <w:spacing w:val="-2"/>
                <w:sz w:val="22"/>
                <w:szCs w:val="22"/>
                <w:highlight w:val="none"/>
              </w:rPr>
              <w:t>双钢化</w:t>
            </w:r>
          </w:p>
        </w:tc>
        <w:tc>
          <w:tcPr>
            <w:tcW w:w="1785" w:type="dxa"/>
            <w:vAlign w:val="top"/>
          </w:tcPr>
          <w:p w14:paraId="1AA43F8E">
            <w:pPr>
              <w:pStyle w:val="7"/>
              <w:spacing w:before="60" w:line="220" w:lineRule="auto"/>
              <w:ind w:left="113"/>
              <w:rPr>
                <w:sz w:val="22"/>
                <w:szCs w:val="22"/>
                <w:highlight w:val="none"/>
              </w:rPr>
            </w:pPr>
            <w:r>
              <w:rPr>
                <w:spacing w:val="-3"/>
                <w:sz w:val="22"/>
                <w:szCs w:val="22"/>
                <w:highlight w:val="none"/>
              </w:rPr>
              <w:t>85</w:t>
            </w:r>
            <w:r>
              <w:rPr>
                <w:spacing w:val="-63"/>
                <w:sz w:val="22"/>
                <w:szCs w:val="22"/>
                <w:highlight w:val="none"/>
              </w:rPr>
              <w:t xml:space="preserve"> </w:t>
            </w:r>
            <w:r>
              <w:rPr>
                <w:spacing w:val="-3"/>
                <w:sz w:val="22"/>
                <w:szCs w:val="22"/>
                <w:highlight w:val="none"/>
              </w:rPr>
              <w:t>系列断桥灰色</w:t>
            </w:r>
          </w:p>
        </w:tc>
        <w:tc>
          <w:tcPr>
            <w:tcW w:w="1471" w:type="dxa"/>
            <w:vAlign w:val="top"/>
          </w:tcPr>
          <w:p w14:paraId="7FCFF8F6">
            <w:pPr>
              <w:pStyle w:val="7"/>
              <w:spacing w:before="60" w:line="221" w:lineRule="auto"/>
              <w:ind w:left="116"/>
              <w:rPr>
                <w:sz w:val="22"/>
                <w:szCs w:val="22"/>
                <w:highlight w:val="none"/>
              </w:rPr>
            </w:pPr>
            <w:r>
              <w:rPr>
                <w:spacing w:val="-3"/>
                <w:sz w:val="22"/>
                <w:szCs w:val="22"/>
                <w:highlight w:val="none"/>
              </w:rPr>
              <w:t>直接安装</w:t>
            </w:r>
          </w:p>
        </w:tc>
        <w:tc>
          <w:tcPr>
            <w:tcW w:w="1268" w:type="dxa"/>
            <w:vAlign w:val="top"/>
          </w:tcPr>
          <w:p w14:paraId="10065DC7">
            <w:pPr>
              <w:pStyle w:val="7"/>
              <w:spacing w:before="60" w:line="221" w:lineRule="auto"/>
              <w:ind w:left="179"/>
              <w:rPr>
                <w:sz w:val="22"/>
                <w:szCs w:val="22"/>
                <w:highlight w:val="none"/>
              </w:rPr>
            </w:pPr>
            <w:r>
              <w:rPr>
                <w:spacing w:val="-4"/>
                <w:sz w:val="22"/>
                <w:szCs w:val="22"/>
                <w:highlight w:val="none"/>
              </w:rPr>
              <w:t>560</w:t>
            </w:r>
            <w:r>
              <w:rPr>
                <w:spacing w:val="-45"/>
                <w:sz w:val="22"/>
                <w:szCs w:val="22"/>
                <w:highlight w:val="none"/>
              </w:rPr>
              <w:t xml:space="preserve"> </w:t>
            </w:r>
            <w:r>
              <w:rPr>
                <w:spacing w:val="-4"/>
                <w:sz w:val="22"/>
                <w:szCs w:val="22"/>
                <w:highlight w:val="none"/>
              </w:rPr>
              <w:t>元/㎡</w:t>
            </w:r>
          </w:p>
        </w:tc>
        <w:tc>
          <w:tcPr>
            <w:tcW w:w="600" w:type="dxa"/>
            <w:vAlign w:val="top"/>
          </w:tcPr>
          <w:p w14:paraId="3762263B">
            <w:pPr>
              <w:rPr>
                <w:rFonts w:ascii="Arial"/>
                <w:sz w:val="21"/>
                <w:highlight w:val="none"/>
              </w:rPr>
            </w:pPr>
          </w:p>
        </w:tc>
      </w:tr>
      <w:tr w14:paraId="16E3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69" w:type="dxa"/>
            <w:vMerge w:val="restart"/>
            <w:vAlign w:val="top"/>
          </w:tcPr>
          <w:p w14:paraId="3B3DA011">
            <w:pPr>
              <w:rPr>
                <w:rFonts w:ascii="Arial"/>
                <w:sz w:val="21"/>
                <w:highlight w:val="none"/>
              </w:rPr>
            </w:pPr>
          </w:p>
        </w:tc>
        <w:tc>
          <w:tcPr>
            <w:tcW w:w="682" w:type="dxa"/>
            <w:vMerge w:val="restart"/>
            <w:vAlign w:val="top"/>
          </w:tcPr>
          <w:p w14:paraId="0BA0CF4A">
            <w:pPr>
              <w:rPr>
                <w:rFonts w:ascii="Arial"/>
                <w:sz w:val="21"/>
                <w:highlight w:val="none"/>
              </w:rPr>
            </w:pPr>
          </w:p>
        </w:tc>
        <w:tc>
          <w:tcPr>
            <w:tcW w:w="1649" w:type="dxa"/>
            <w:vMerge w:val="restart"/>
            <w:tcBorders>
              <w:bottom w:val="nil"/>
            </w:tcBorders>
            <w:vAlign w:val="top"/>
          </w:tcPr>
          <w:p w14:paraId="0C339C45">
            <w:pPr>
              <w:rPr>
                <w:rFonts w:ascii="Arial"/>
                <w:sz w:val="21"/>
                <w:highlight w:val="none"/>
              </w:rPr>
            </w:pPr>
          </w:p>
        </w:tc>
        <w:tc>
          <w:tcPr>
            <w:tcW w:w="1622" w:type="dxa"/>
            <w:vMerge w:val="restart"/>
            <w:tcBorders>
              <w:bottom w:val="nil"/>
            </w:tcBorders>
            <w:vAlign w:val="top"/>
          </w:tcPr>
          <w:p w14:paraId="6C3ADF35">
            <w:pPr>
              <w:rPr>
                <w:rFonts w:ascii="Arial"/>
                <w:sz w:val="21"/>
                <w:highlight w:val="none"/>
              </w:rPr>
            </w:pPr>
          </w:p>
        </w:tc>
        <w:tc>
          <w:tcPr>
            <w:tcW w:w="1785" w:type="dxa"/>
            <w:vMerge w:val="restart"/>
            <w:tcBorders>
              <w:bottom w:val="nil"/>
            </w:tcBorders>
            <w:vAlign w:val="top"/>
          </w:tcPr>
          <w:p w14:paraId="4677FEEF">
            <w:pPr>
              <w:rPr>
                <w:rFonts w:ascii="Arial"/>
                <w:sz w:val="21"/>
                <w:highlight w:val="none"/>
              </w:rPr>
            </w:pPr>
          </w:p>
        </w:tc>
        <w:tc>
          <w:tcPr>
            <w:tcW w:w="1471" w:type="dxa"/>
            <w:vAlign w:val="top"/>
          </w:tcPr>
          <w:p w14:paraId="0D09A4D5">
            <w:pPr>
              <w:pStyle w:val="7"/>
              <w:spacing w:before="66"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264DFD63">
            <w:pPr>
              <w:pStyle w:val="7"/>
              <w:spacing w:before="210" w:line="221" w:lineRule="auto"/>
              <w:ind w:left="179"/>
              <w:rPr>
                <w:sz w:val="22"/>
                <w:szCs w:val="22"/>
                <w:highlight w:val="none"/>
              </w:rPr>
            </w:pPr>
            <w:r>
              <w:rPr>
                <w:spacing w:val="-4"/>
                <w:sz w:val="22"/>
                <w:szCs w:val="22"/>
                <w:highlight w:val="none"/>
              </w:rPr>
              <w:t>566</w:t>
            </w:r>
            <w:r>
              <w:rPr>
                <w:spacing w:val="-45"/>
                <w:sz w:val="22"/>
                <w:szCs w:val="22"/>
                <w:highlight w:val="none"/>
              </w:rPr>
              <w:t xml:space="preserve"> </w:t>
            </w:r>
            <w:r>
              <w:rPr>
                <w:spacing w:val="-4"/>
                <w:sz w:val="22"/>
                <w:szCs w:val="22"/>
                <w:highlight w:val="none"/>
              </w:rPr>
              <w:t>元/㎡</w:t>
            </w:r>
          </w:p>
        </w:tc>
        <w:tc>
          <w:tcPr>
            <w:tcW w:w="600" w:type="dxa"/>
            <w:vAlign w:val="top"/>
          </w:tcPr>
          <w:p w14:paraId="74B7923F">
            <w:pPr>
              <w:rPr>
                <w:rFonts w:ascii="Arial"/>
                <w:sz w:val="21"/>
                <w:highlight w:val="none"/>
              </w:rPr>
            </w:pPr>
          </w:p>
        </w:tc>
      </w:tr>
      <w:tr w14:paraId="0756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vAlign w:val="top"/>
          </w:tcPr>
          <w:p w14:paraId="11A1CC1E">
            <w:pPr>
              <w:rPr>
                <w:rFonts w:ascii="Arial"/>
                <w:sz w:val="21"/>
                <w:highlight w:val="none"/>
              </w:rPr>
            </w:pPr>
          </w:p>
        </w:tc>
        <w:tc>
          <w:tcPr>
            <w:tcW w:w="682" w:type="dxa"/>
            <w:vMerge w:val="continue"/>
            <w:vAlign w:val="top"/>
          </w:tcPr>
          <w:p w14:paraId="5B152647">
            <w:pPr>
              <w:rPr>
                <w:rFonts w:ascii="Arial"/>
                <w:sz w:val="21"/>
                <w:highlight w:val="none"/>
              </w:rPr>
            </w:pPr>
          </w:p>
        </w:tc>
        <w:tc>
          <w:tcPr>
            <w:tcW w:w="1649" w:type="dxa"/>
            <w:vMerge w:val="continue"/>
            <w:tcBorders>
              <w:top w:val="nil"/>
              <w:bottom w:val="nil"/>
            </w:tcBorders>
            <w:vAlign w:val="top"/>
          </w:tcPr>
          <w:p w14:paraId="2FDB524F">
            <w:pPr>
              <w:rPr>
                <w:rFonts w:ascii="Arial"/>
                <w:sz w:val="21"/>
                <w:highlight w:val="none"/>
              </w:rPr>
            </w:pPr>
          </w:p>
        </w:tc>
        <w:tc>
          <w:tcPr>
            <w:tcW w:w="1622" w:type="dxa"/>
            <w:vMerge w:val="continue"/>
            <w:tcBorders>
              <w:top w:val="nil"/>
              <w:bottom w:val="nil"/>
            </w:tcBorders>
            <w:vAlign w:val="top"/>
          </w:tcPr>
          <w:p w14:paraId="30B9C9A8">
            <w:pPr>
              <w:rPr>
                <w:rFonts w:ascii="Arial"/>
                <w:sz w:val="21"/>
                <w:highlight w:val="none"/>
              </w:rPr>
            </w:pPr>
          </w:p>
        </w:tc>
        <w:tc>
          <w:tcPr>
            <w:tcW w:w="1785" w:type="dxa"/>
            <w:vMerge w:val="continue"/>
            <w:tcBorders>
              <w:top w:val="nil"/>
              <w:bottom w:val="nil"/>
            </w:tcBorders>
            <w:vAlign w:val="top"/>
          </w:tcPr>
          <w:p w14:paraId="28CDB125">
            <w:pPr>
              <w:rPr>
                <w:rFonts w:ascii="Arial"/>
                <w:sz w:val="21"/>
                <w:highlight w:val="none"/>
              </w:rPr>
            </w:pPr>
          </w:p>
        </w:tc>
        <w:tc>
          <w:tcPr>
            <w:tcW w:w="1471" w:type="dxa"/>
            <w:vAlign w:val="top"/>
          </w:tcPr>
          <w:p w14:paraId="2F64CCCD">
            <w:pPr>
              <w:pStyle w:val="7"/>
              <w:spacing w:before="204" w:line="220" w:lineRule="auto"/>
              <w:ind w:left="116"/>
              <w:rPr>
                <w:sz w:val="22"/>
                <w:szCs w:val="22"/>
                <w:highlight w:val="none"/>
              </w:rPr>
            </w:pPr>
            <w:r>
              <w:rPr>
                <w:spacing w:val="-2"/>
                <w:sz w:val="22"/>
                <w:szCs w:val="22"/>
                <w:highlight w:val="none"/>
              </w:rPr>
              <w:t>蜘蛛人辅助</w:t>
            </w:r>
          </w:p>
        </w:tc>
        <w:tc>
          <w:tcPr>
            <w:tcW w:w="1268" w:type="dxa"/>
            <w:vAlign w:val="top"/>
          </w:tcPr>
          <w:p w14:paraId="30F367B4">
            <w:pPr>
              <w:pStyle w:val="7"/>
              <w:spacing w:before="204" w:line="221" w:lineRule="auto"/>
              <w:ind w:left="177"/>
              <w:rPr>
                <w:sz w:val="22"/>
                <w:szCs w:val="22"/>
                <w:highlight w:val="none"/>
              </w:rPr>
            </w:pPr>
            <w:r>
              <w:rPr>
                <w:spacing w:val="-4"/>
                <w:sz w:val="22"/>
                <w:szCs w:val="22"/>
                <w:highlight w:val="none"/>
              </w:rPr>
              <w:t>610</w:t>
            </w:r>
            <w:r>
              <w:rPr>
                <w:spacing w:val="-43"/>
                <w:sz w:val="22"/>
                <w:szCs w:val="22"/>
                <w:highlight w:val="none"/>
              </w:rPr>
              <w:t xml:space="preserve"> </w:t>
            </w:r>
            <w:r>
              <w:rPr>
                <w:spacing w:val="-4"/>
                <w:sz w:val="22"/>
                <w:szCs w:val="22"/>
                <w:highlight w:val="none"/>
              </w:rPr>
              <w:t>元/㎡</w:t>
            </w:r>
          </w:p>
        </w:tc>
        <w:tc>
          <w:tcPr>
            <w:tcW w:w="600" w:type="dxa"/>
            <w:vAlign w:val="top"/>
          </w:tcPr>
          <w:p w14:paraId="0E26D144">
            <w:pPr>
              <w:rPr>
                <w:rFonts w:ascii="Arial"/>
                <w:sz w:val="21"/>
                <w:highlight w:val="none"/>
              </w:rPr>
            </w:pPr>
          </w:p>
        </w:tc>
      </w:tr>
      <w:tr w14:paraId="1F98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52CB8EA0">
            <w:pPr>
              <w:rPr>
                <w:rFonts w:ascii="Arial"/>
                <w:sz w:val="21"/>
                <w:highlight w:val="none"/>
              </w:rPr>
            </w:pPr>
          </w:p>
        </w:tc>
        <w:tc>
          <w:tcPr>
            <w:tcW w:w="682" w:type="dxa"/>
            <w:vMerge w:val="continue"/>
            <w:vAlign w:val="top"/>
          </w:tcPr>
          <w:p w14:paraId="5FB80AC0">
            <w:pPr>
              <w:rPr>
                <w:rFonts w:ascii="Arial"/>
                <w:sz w:val="21"/>
                <w:highlight w:val="none"/>
              </w:rPr>
            </w:pPr>
          </w:p>
        </w:tc>
        <w:tc>
          <w:tcPr>
            <w:tcW w:w="1649" w:type="dxa"/>
            <w:vMerge w:val="continue"/>
            <w:tcBorders>
              <w:top w:val="nil"/>
              <w:bottom w:val="nil"/>
            </w:tcBorders>
            <w:vAlign w:val="top"/>
          </w:tcPr>
          <w:p w14:paraId="57888237">
            <w:pPr>
              <w:rPr>
                <w:rFonts w:ascii="Arial"/>
                <w:sz w:val="21"/>
                <w:highlight w:val="none"/>
              </w:rPr>
            </w:pPr>
          </w:p>
        </w:tc>
        <w:tc>
          <w:tcPr>
            <w:tcW w:w="1622" w:type="dxa"/>
            <w:vMerge w:val="continue"/>
            <w:tcBorders>
              <w:top w:val="nil"/>
              <w:bottom w:val="nil"/>
            </w:tcBorders>
            <w:vAlign w:val="top"/>
          </w:tcPr>
          <w:p w14:paraId="4E300088">
            <w:pPr>
              <w:rPr>
                <w:rFonts w:ascii="Arial"/>
                <w:sz w:val="21"/>
                <w:highlight w:val="none"/>
              </w:rPr>
            </w:pPr>
          </w:p>
        </w:tc>
        <w:tc>
          <w:tcPr>
            <w:tcW w:w="1785" w:type="dxa"/>
            <w:vMerge w:val="continue"/>
            <w:tcBorders>
              <w:top w:val="nil"/>
            </w:tcBorders>
            <w:vAlign w:val="top"/>
          </w:tcPr>
          <w:p w14:paraId="3B17DE03">
            <w:pPr>
              <w:rPr>
                <w:rFonts w:ascii="Arial"/>
                <w:sz w:val="21"/>
                <w:highlight w:val="none"/>
              </w:rPr>
            </w:pPr>
          </w:p>
        </w:tc>
        <w:tc>
          <w:tcPr>
            <w:tcW w:w="1471" w:type="dxa"/>
            <w:vAlign w:val="top"/>
          </w:tcPr>
          <w:p w14:paraId="436D03CC">
            <w:pPr>
              <w:pStyle w:val="7"/>
              <w:spacing w:before="55" w:line="221" w:lineRule="auto"/>
              <w:ind w:left="141"/>
              <w:rPr>
                <w:sz w:val="22"/>
                <w:szCs w:val="22"/>
                <w:highlight w:val="none"/>
              </w:rPr>
            </w:pPr>
            <w:r>
              <w:rPr>
                <w:spacing w:val="-9"/>
                <w:sz w:val="22"/>
                <w:szCs w:val="22"/>
                <w:highlight w:val="none"/>
              </w:rPr>
              <w:t>吊篮辅助</w:t>
            </w:r>
          </w:p>
        </w:tc>
        <w:tc>
          <w:tcPr>
            <w:tcW w:w="1268" w:type="dxa"/>
            <w:vAlign w:val="top"/>
          </w:tcPr>
          <w:p w14:paraId="5DECB0BE">
            <w:pPr>
              <w:pStyle w:val="7"/>
              <w:spacing w:before="55" w:line="221" w:lineRule="auto"/>
              <w:ind w:left="179"/>
              <w:rPr>
                <w:sz w:val="22"/>
                <w:szCs w:val="22"/>
                <w:highlight w:val="none"/>
              </w:rPr>
            </w:pPr>
            <w:r>
              <w:rPr>
                <w:spacing w:val="-4"/>
                <w:sz w:val="22"/>
                <w:szCs w:val="22"/>
                <w:highlight w:val="none"/>
              </w:rPr>
              <w:t>570</w:t>
            </w:r>
            <w:r>
              <w:rPr>
                <w:spacing w:val="-45"/>
                <w:sz w:val="22"/>
                <w:szCs w:val="22"/>
                <w:highlight w:val="none"/>
              </w:rPr>
              <w:t xml:space="preserve"> </w:t>
            </w:r>
            <w:r>
              <w:rPr>
                <w:spacing w:val="-4"/>
                <w:sz w:val="22"/>
                <w:szCs w:val="22"/>
                <w:highlight w:val="none"/>
              </w:rPr>
              <w:t>元/㎡</w:t>
            </w:r>
          </w:p>
        </w:tc>
        <w:tc>
          <w:tcPr>
            <w:tcW w:w="600" w:type="dxa"/>
            <w:vAlign w:val="top"/>
          </w:tcPr>
          <w:p w14:paraId="61A425AA">
            <w:pPr>
              <w:rPr>
                <w:rFonts w:ascii="Arial"/>
                <w:sz w:val="21"/>
                <w:highlight w:val="none"/>
              </w:rPr>
            </w:pPr>
          </w:p>
        </w:tc>
      </w:tr>
      <w:tr w14:paraId="707A3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7B2D706E">
            <w:pPr>
              <w:rPr>
                <w:rFonts w:ascii="Arial"/>
                <w:sz w:val="21"/>
                <w:highlight w:val="none"/>
              </w:rPr>
            </w:pPr>
          </w:p>
        </w:tc>
        <w:tc>
          <w:tcPr>
            <w:tcW w:w="682" w:type="dxa"/>
            <w:vMerge w:val="continue"/>
            <w:vAlign w:val="top"/>
          </w:tcPr>
          <w:p w14:paraId="2D66B405">
            <w:pPr>
              <w:rPr>
                <w:rFonts w:ascii="Arial"/>
                <w:sz w:val="21"/>
                <w:highlight w:val="none"/>
              </w:rPr>
            </w:pPr>
          </w:p>
        </w:tc>
        <w:tc>
          <w:tcPr>
            <w:tcW w:w="1649" w:type="dxa"/>
            <w:vMerge w:val="continue"/>
            <w:tcBorders>
              <w:top w:val="nil"/>
              <w:bottom w:val="nil"/>
            </w:tcBorders>
            <w:vAlign w:val="top"/>
          </w:tcPr>
          <w:p w14:paraId="63534686">
            <w:pPr>
              <w:rPr>
                <w:rFonts w:ascii="Arial"/>
                <w:sz w:val="21"/>
                <w:highlight w:val="none"/>
              </w:rPr>
            </w:pPr>
          </w:p>
        </w:tc>
        <w:tc>
          <w:tcPr>
            <w:tcW w:w="1622" w:type="dxa"/>
            <w:vMerge w:val="continue"/>
            <w:tcBorders>
              <w:top w:val="nil"/>
              <w:bottom w:val="nil"/>
            </w:tcBorders>
            <w:vAlign w:val="top"/>
          </w:tcPr>
          <w:p w14:paraId="2C11DE4C">
            <w:pPr>
              <w:rPr>
                <w:rFonts w:ascii="Arial"/>
                <w:sz w:val="21"/>
                <w:highlight w:val="none"/>
              </w:rPr>
            </w:pPr>
          </w:p>
        </w:tc>
        <w:tc>
          <w:tcPr>
            <w:tcW w:w="1785" w:type="dxa"/>
            <w:vMerge w:val="restart"/>
            <w:tcBorders>
              <w:bottom w:val="nil"/>
            </w:tcBorders>
            <w:vAlign w:val="top"/>
          </w:tcPr>
          <w:p w14:paraId="415471C0">
            <w:pPr>
              <w:spacing w:line="263" w:lineRule="auto"/>
              <w:rPr>
                <w:rFonts w:ascii="Arial"/>
                <w:sz w:val="21"/>
                <w:highlight w:val="none"/>
              </w:rPr>
            </w:pPr>
          </w:p>
          <w:p w14:paraId="7EA21581">
            <w:pPr>
              <w:spacing w:line="264" w:lineRule="auto"/>
              <w:rPr>
                <w:rFonts w:ascii="Arial"/>
                <w:sz w:val="21"/>
                <w:highlight w:val="none"/>
              </w:rPr>
            </w:pPr>
          </w:p>
          <w:p w14:paraId="1E13B237">
            <w:pPr>
              <w:spacing w:line="264" w:lineRule="auto"/>
              <w:rPr>
                <w:rFonts w:ascii="Arial"/>
                <w:sz w:val="21"/>
                <w:highlight w:val="none"/>
              </w:rPr>
            </w:pPr>
          </w:p>
          <w:p w14:paraId="4E57661E">
            <w:pPr>
              <w:pStyle w:val="7"/>
              <w:spacing w:before="71" w:line="219" w:lineRule="auto"/>
              <w:ind w:left="245"/>
              <w:rPr>
                <w:sz w:val="22"/>
                <w:szCs w:val="22"/>
                <w:highlight w:val="none"/>
              </w:rPr>
            </w:pPr>
            <w:r>
              <w:rPr>
                <w:spacing w:val="-3"/>
                <w:sz w:val="22"/>
                <w:szCs w:val="22"/>
                <w:highlight w:val="none"/>
              </w:rPr>
              <w:t>（不含型材）</w:t>
            </w:r>
          </w:p>
        </w:tc>
        <w:tc>
          <w:tcPr>
            <w:tcW w:w="1471" w:type="dxa"/>
            <w:vAlign w:val="top"/>
          </w:tcPr>
          <w:p w14:paraId="7A57349B">
            <w:pPr>
              <w:pStyle w:val="7"/>
              <w:spacing w:before="55" w:line="221" w:lineRule="auto"/>
              <w:ind w:left="116"/>
              <w:rPr>
                <w:sz w:val="22"/>
                <w:szCs w:val="22"/>
                <w:highlight w:val="none"/>
              </w:rPr>
            </w:pPr>
            <w:r>
              <w:rPr>
                <w:spacing w:val="-3"/>
                <w:sz w:val="22"/>
                <w:szCs w:val="22"/>
                <w:highlight w:val="none"/>
              </w:rPr>
              <w:t>直接安装</w:t>
            </w:r>
          </w:p>
        </w:tc>
        <w:tc>
          <w:tcPr>
            <w:tcW w:w="1268" w:type="dxa"/>
            <w:vAlign w:val="top"/>
          </w:tcPr>
          <w:p w14:paraId="2B485301">
            <w:pPr>
              <w:pStyle w:val="7"/>
              <w:spacing w:before="55" w:line="221" w:lineRule="auto"/>
              <w:ind w:left="178"/>
              <w:rPr>
                <w:sz w:val="22"/>
                <w:szCs w:val="22"/>
                <w:highlight w:val="none"/>
              </w:rPr>
            </w:pPr>
            <w:r>
              <w:rPr>
                <w:spacing w:val="-4"/>
                <w:sz w:val="22"/>
                <w:szCs w:val="22"/>
                <w:highlight w:val="none"/>
              </w:rPr>
              <w:t>240</w:t>
            </w:r>
            <w:r>
              <w:rPr>
                <w:spacing w:val="-43"/>
                <w:sz w:val="22"/>
                <w:szCs w:val="22"/>
                <w:highlight w:val="none"/>
              </w:rPr>
              <w:t xml:space="preserve"> </w:t>
            </w:r>
            <w:r>
              <w:rPr>
                <w:spacing w:val="-4"/>
                <w:sz w:val="22"/>
                <w:szCs w:val="22"/>
                <w:highlight w:val="none"/>
              </w:rPr>
              <w:t>元/㎡</w:t>
            </w:r>
          </w:p>
        </w:tc>
        <w:tc>
          <w:tcPr>
            <w:tcW w:w="600" w:type="dxa"/>
            <w:vAlign w:val="top"/>
          </w:tcPr>
          <w:p w14:paraId="56F3ED20">
            <w:pPr>
              <w:rPr>
                <w:rFonts w:ascii="Arial"/>
                <w:sz w:val="21"/>
                <w:highlight w:val="none"/>
              </w:rPr>
            </w:pPr>
          </w:p>
        </w:tc>
      </w:tr>
      <w:tr w14:paraId="3A48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vAlign w:val="top"/>
          </w:tcPr>
          <w:p w14:paraId="6ECF4ECD">
            <w:pPr>
              <w:rPr>
                <w:rFonts w:ascii="Arial"/>
                <w:sz w:val="21"/>
                <w:highlight w:val="none"/>
              </w:rPr>
            </w:pPr>
          </w:p>
        </w:tc>
        <w:tc>
          <w:tcPr>
            <w:tcW w:w="682" w:type="dxa"/>
            <w:vMerge w:val="continue"/>
            <w:vAlign w:val="top"/>
          </w:tcPr>
          <w:p w14:paraId="598F4A72">
            <w:pPr>
              <w:rPr>
                <w:rFonts w:ascii="Arial"/>
                <w:sz w:val="21"/>
                <w:highlight w:val="none"/>
              </w:rPr>
            </w:pPr>
          </w:p>
        </w:tc>
        <w:tc>
          <w:tcPr>
            <w:tcW w:w="1649" w:type="dxa"/>
            <w:vMerge w:val="continue"/>
            <w:tcBorders>
              <w:top w:val="nil"/>
              <w:bottom w:val="nil"/>
            </w:tcBorders>
            <w:vAlign w:val="top"/>
          </w:tcPr>
          <w:p w14:paraId="05E4BCB7">
            <w:pPr>
              <w:rPr>
                <w:rFonts w:ascii="Arial"/>
                <w:sz w:val="21"/>
                <w:highlight w:val="none"/>
              </w:rPr>
            </w:pPr>
          </w:p>
        </w:tc>
        <w:tc>
          <w:tcPr>
            <w:tcW w:w="1622" w:type="dxa"/>
            <w:vMerge w:val="continue"/>
            <w:tcBorders>
              <w:top w:val="nil"/>
              <w:bottom w:val="nil"/>
            </w:tcBorders>
            <w:vAlign w:val="top"/>
          </w:tcPr>
          <w:p w14:paraId="1DD156A5">
            <w:pPr>
              <w:rPr>
                <w:rFonts w:ascii="Arial"/>
                <w:sz w:val="21"/>
                <w:highlight w:val="none"/>
              </w:rPr>
            </w:pPr>
          </w:p>
        </w:tc>
        <w:tc>
          <w:tcPr>
            <w:tcW w:w="1785" w:type="dxa"/>
            <w:vMerge w:val="continue"/>
            <w:tcBorders>
              <w:top w:val="nil"/>
              <w:bottom w:val="nil"/>
            </w:tcBorders>
            <w:vAlign w:val="top"/>
          </w:tcPr>
          <w:p w14:paraId="33E1BB6E">
            <w:pPr>
              <w:rPr>
                <w:rFonts w:ascii="Arial"/>
                <w:sz w:val="21"/>
                <w:highlight w:val="none"/>
              </w:rPr>
            </w:pPr>
          </w:p>
        </w:tc>
        <w:tc>
          <w:tcPr>
            <w:tcW w:w="1471" w:type="dxa"/>
            <w:vAlign w:val="top"/>
          </w:tcPr>
          <w:p w14:paraId="2C6586E3">
            <w:pPr>
              <w:pStyle w:val="7"/>
              <w:spacing w:before="64" w:line="229"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011F4821">
            <w:pPr>
              <w:pStyle w:val="7"/>
              <w:spacing w:before="205" w:line="221" w:lineRule="auto"/>
              <w:ind w:left="178"/>
              <w:rPr>
                <w:sz w:val="22"/>
                <w:szCs w:val="22"/>
                <w:highlight w:val="none"/>
              </w:rPr>
            </w:pPr>
            <w:r>
              <w:rPr>
                <w:spacing w:val="-4"/>
                <w:sz w:val="22"/>
                <w:szCs w:val="22"/>
                <w:highlight w:val="none"/>
              </w:rPr>
              <w:t>246</w:t>
            </w:r>
            <w:r>
              <w:rPr>
                <w:spacing w:val="-43"/>
                <w:sz w:val="22"/>
                <w:szCs w:val="22"/>
                <w:highlight w:val="none"/>
              </w:rPr>
              <w:t xml:space="preserve"> </w:t>
            </w:r>
            <w:r>
              <w:rPr>
                <w:spacing w:val="-4"/>
                <w:sz w:val="22"/>
                <w:szCs w:val="22"/>
                <w:highlight w:val="none"/>
              </w:rPr>
              <w:t>元/㎡</w:t>
            </w:r>
          </w:p>
        </w:tc>
        <w:tc>
          <w:tcPr>
            <w:tcW w:w="600" w:type="dxa"/>
            <w:vAlign w:val="top"/>
          </w:tcPr>
          <w:p w14:paraId="6938CDE3">
            <w:pPr>
              <w:rPr>
                <w:rFonts w:ascii="Arial"/>
                <w:sz w:val="21"/>
                <w:highlight w:val="none"/>
              </w:rPr>
            </w:pPr>
          </w:p>
        </w:tc>
      </w:tr>
      <w:tr w14:paraId="155E4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vAlign w:val="top"/>
          </w:tcPr>
          <w:p w14:paraId="40168C0B">
            <w:pPr>
              <w:rPr>
                <w:rFonts w:ascii="Arial"/>
                <w:sz w:val="21"/>
                <w:highlight w:val="none"/>
              </w:rPr>
            </w:pPr>
          </w:p>
        </w:tc>
        <w:tc>
          <w:tcPr>
            <w:tcW w:w="682" w:type="dxa"/>
            <w:vMerge w:val="continue"/>
            <w:vAlign w:val="top"/>
          </w:tcPr>
          <w:p w14:paraId="75FBE9F1">
            <w:pPr>
              <w:rPr>
                <w:rFonts w:ascii="Arial"/>
                <w:sz w:val="21"/>
                <w:highlight w:val="none"/>
              </w:rPr>
            </w:pPr>
          </w:p>
        </w:tc>
        <w:tc>
          <w:tcPr>
            <w:tcW w:w="1649" w:type="dxa"/>
            <w:vMerge w:val="continue"/>
            <w:tcBorders>
              <w:top w:val="nil"/>
              <w:bottom w:val="nil"/>
            </w:tcBorders>
            <w:vAlign w:val="top"/>
          </w:tcPr>
          <w:p w14:paraId="3FC50B29">
            <w:pPr>
              <w:rPr>
                <w:rFonts w:ascii="Arial"/>
                <w:sz w:val="21"/>
                <w:highlight w:val="none"/>
              </w:rPr>
            </w:pPr>
          </w:p>
        </w:tc>
        <w:tc>
          <w:tcPr>
            <w:tcW w:w="1622" w:type="dxa"/>
            <w:vMerge w:val="continue"/>
            <w:tcBorders>
              <w:top w:val="nil"/>
              <w:bottom w:val="nil"/>
            </w:tcBorders>
            <w:vAlign w:val="top"/>
          </w:tcPr>
          <w:p w14:paraId="7B8E9C9C">
            <w:pPr>
              <w:rPr>
                <w:rFonts w:ascii="Arial"/>
                <w:sz w:val="21"/>
                <w:highlight w:val="none"/>
              </w:rPr>
            </w:pPr>
          </w:p>
        </w:tc>
        <w:tc>
          <w:tcPr>
            <w:tcW w:w="1785" w:type="dxa"/>
            <w:vMerge w:val="continue"/>
            <w:tcBorders>
              <w:top w:val="nil"/>
              <w:bottom w:val="nil"/>
            </w:tcBorders>
            <w:vAlign w:val="top"/>
          </w:tcPr>
          <w:p w14:paraId="55723735">
            <w:pPr>
              <w:rPr>
                <w:rFonts w:ascii="Arial"/>
                <w:sz w:val="21"/>
                <w:highlight w:val="none"/>
              </w:rPr>
            </w:pPr>
          </w:p>
        </w:tc>
        <w:tc>
          <w:tcPr>
            <w:tcW w:w="1471" w:type="dxa"/>
            <w:vAlign w:val="top"/>
          </w:tcPr>
          <w:p w14:paraId="70F317F6">
            <w:pPr>
              <w:pStyle w:val="7"/>
              <w:spacing w:before="207" w:line="220" w:lineRule="auto"/>
              <w:ind w:left="116"/>
              <w:rPr>
                <w:sz w:val="22"/>
                <w:szCs w:val="22"/>
                <w:highlight w:val="none"/>
              </w:rPr>
            </w:pPr>
            <w:r>
              <w:rPr>
                <w:spacing w:val="-2"/>
                <w:sz w:val="22"/>
                <w:szCs w:val="22"/>
                <w:highlight w:val="none"/>
              </w:rPr>
              <w:t>蜘蛛人辅助</w:t>
            </w:r>
          </w:p>
        </w:tc>
        <w:tc>
          <w:tcPr>
            <w:tcW w:w="1268" w:type="dxa"/>
            <w:vAlign w:val="top"/>
          </w:tcPr>
          <w:p w14:paraId="46105AB8">
            <w:pPr>
              <w:pStyle w:val="7"/>
              <w:spacing w:before="207" w:line="221" w:lineRule="auto"/>
              <w:ind w:left="178"/>
              <w:rPr>
                <w:sz w:val="22"/>
                <w:szCs w:val="22"/>
                <w:highlight w:val="none"/>
              </w:rPr>
            </w:pPr>
            <w:r>
              <w:rPr>
                <w:spacing w:val="-4"/>
                <w:sz w:val="22"/>
                <w:szCs w:val="22"/>
                <w:highlight w:val="none"/>
              </w:rPr>
              <w:t>290</w:t>
            </w:r>
            <w:r>
              <w:rPr>
                <w:spacing w:val="-43"/>
                <w:sz w:val="22"/>
                <w:szCs w:val="22"/>
                <w:highlight w:val="none"/>
              </w:rPr>
              <w:t xml:space="preserve"> </w:t>
            </w:r>
            <w:r>
              <w:rPr>
                <w:spacing w:val="-4"/>
                <w:sz w:val="22"/>
                <w:szCs w:val="22"/>
                <w:highlight w:val="none"/>
              </w:rPr>
              <w:t>元/㎡</w:t>
            </w:r>
          </w:p>
        </w:tc>
        <w:tc>
          <w:tcPr>
            <w:tcW w:w="600" w:type="dxa"/>
            <w:vAlign w:val="top"/>
          </w:tcPr>
          <w:p w14:paraId="727B16B2">
            <w:pPr>
              <w:rPr>
                <w:rFonts w:ascii="Arial"/>
                <w:sz w:val="21"/>
                <w:highlight w:val="none"/>
              </w:rPr>
            </w:pPr>
          </w:p>
        </w:tc>
      </w:tr>
      <w:tr w14:paraId="281C5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7ED7DDA9">
            <w:pPr>
              <w:rPr>
                <w:rFonts w:ascii="Arial"/>
                <w:sz w:val="21"/>
                <w:highlight w:val="none"/>
              </w:rPr>
            </w:pPr>
          </w:p>
        </w:tc>
        <w:tc>
          <w:tcPr>
            <w:tcW w:w="682" w:type="dxa"/>
            <w:vMerge w:val="continue"/>
            <w:vAlign w:val="top"/>
          </w:tcPr>
          <w:p w14:paraId="040EC294">
            <w:pPr>
              <w:rPr>
                <w:rFonts w:ascii="Arial"/>
                <w:sz w:val="21"/>
                <w:highlight w:val="none"/>
              </w:rPr>
            </w:pPr>
          </w:p>
        </w:tc>
        <w:tc>
          <w:tcPr>
            <w:tcW w:w="1649" w:type="dxa"/>
            <w:vMerge w:val="continue"/>
            <w:tcBorders>
              <w:top w:val="nil"/>
              <w:bottom w:val="nil"/>
            </w:tcBorders>
            <w:vAlign w:val="top"/>
          </w:tcPr>
          <w:p w14:paraId="238BE485">
            <w:pPr>
              <w:rPr>
                <w:rFonts w:ascii="Arial"/>
                <w:sz w:val="21"/>
                <w:highlight w:val="none"/>
              </w:rPr>
            </w:pPr>
          </w:p>
        </w:tc>
        <w:tc>
          <w:tcPr>
            <w:tcW w:w="1622" w:type="dxa"/>
            <w:vMerge w:val="continue"/>
            <w:tcBorders>
              <w:top w:val="nil"/>
            </w:tcBorders>
            <w:vAlign w:val="top"/>
          </w:tcPr>
          <w:p w14:paraId="1C2C299D">
            <w:pPr>
              <w:rPr>
                <w:rFonts w:ascii="Arial"/>
                <w:sz w:val="21"/>
                <w:highlight w:val="none"/>
              </w:rPr>
            </w:pPr>
          </w:p>
        </w:tc>
        <w:tc>
          <w:tcPr>
            <w:tcW w:w="1785" w:type="dxa"/>
            <w:vMerge w:val="continue"/>
            <w:tcBorders>
              <w:top w:val="nil"/>
            </w:tcBorders>
            <w:vAlign w:val="top"/>
          </w:tcPr>
          <w:p w14:paraId="334E993B">
            <w:pPr>
              <w:rPr>
                <w:rFonts w:ascii="Arial"/>
                <w:sz w:val="21"/>
                <w:highlight w:val="none"/>
              </w:rPr>
            </w:pPr>
          </w:p>
        </w:tc>
        <w:tc>
          <w:tcPr>
            <w:tcW w:w="1471" w:type="dxa"/>
            <w:vAlign w:val="top"/>
          </w:tcPr>
          <w:p w14:paraId="4DE01E32">
            <w:pPr>
              <w:pStyle w:val="7"/>
              <w:spacing w:before="57" w:line="221" w:lineRule="auto"/>
              <w:ind w:left="141"/>
              <w:rPr>
                <w:sz w:val="22"/>
                <w:szCs w:val="22"/>
                <w:highlight w:val="none"/>
              </w:rPr>
            </w:pPr>
            <w:r>
              <w:rPr>
                <w:spacing w:val="-9"/>
                <w:sz w:val="22"/>
                <w:szCs w:val="22"/>
                <w:highlight w:val="none"/>
              </w:rPr>
              <w:t>吊篮辅助</w:t>
            </w:r>
          </w:p>
        </w:tc>
        <w:tc>
          <w:tcPr>
            <w:tcW w:w="1268" w:type="dxa"/>
            <w:vAlign w:val="top"/>
          </w:tcPr>
          <w:p w14:paraId="04A41BF0">
            <w:pPr>
              <w:pStyle w:val="7"/>
              <w:spacing w:before="57" w:line="221" w:lineRule="auto"/>
              <w:ind w:left="178"/>
              <w:rPr>
                <w:sz w:val="22"/>
                <w:szCs w:val="22"/>
                <w:highlight w:val="none"/>
              </w:rPr>
            </w:pPr>
            <w:r>
              <w:rPr>
                <w:spacing w:val="-4"/>
                <w:sz w:val="22"/>
                <w:szCs w:val="22"/>
                <w:highlight w:val="none"/>
              </w:rPr>
              <w:t>250</w:t>
            </w:r>
            <w:r>
              <w:rPr>
                <w:spacing w:val="-43"/>
                <w:sz w:val="22"/>
                <w:szCs w:val="22"/>
                <w:highlight w:val="none"/>
              </w:rPr>
              <w:t xml:space="preserve"> </w:t>
            </w:r>
            <w:r>
              <w:rPr>
                <w:spacing w:val="-4"/>
                <w:sz w:val="22"/>
                <w:szCs w:val="22"/>
                <w:highlight w:val="none"/>
              </w:rPr>
              <w:t>元/㎡</w:t>
            </w:r>
          </w:p>
        </w:tc>
        <w:tc>
          <w:tcPr>
            <w:tcW w:w="600" w:type="dxa"/>
            <w:vAlign w:val="top"/>
          </w:tcPr>
          <w:p w14:paraId="03A95FF3">
            <w:pPr>
              <w:rPr>
                <w:rFonts w:ascii="Arial"/>
                <w:sz w:val="21"/>
                <w:highlight w:val="none"/>
              </w:rPr>
            </w:pPr>
          </w:p>
        </w:tc>
      </w:tr>
      <w:tr w14:paraId="245A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64288DCB">
            <w:pPr>
              <w:rPr>
                <w:rFonts w:ascii="Arial"/>
                <w:sz w:val="21"/>
                <w:highlight w:val="none"/>
              </w:rPr>
            </w:pPr>
          </w:p>
        </w:tc>
        <w:tc>
          <w:tcPr>
            <w:tcW w:w="682" w:type="dxa"/>
            <w:vMerge w:val="continue"/>
            <w:vAlign w:val="top"/>
          </w:tcPr>
          <w:p w14:paraId="3C00591D">
            <w:pPr>
              <w:rPr>
                <w:rFonts w:ascii="Arial"/>
                <w:sz w:val="21"/>
                <w:highlight w:val="none"/>
              </w:rPr>
            </w:pPr>
          </w:p>
        </w:tc>
        <w:tc>
          <w:tcPr>
            <w:tcW w:w="1649" w:type="dxa"/>
            <w:vMerge w:val="continue"/>
            <w:tcBorders>
              <w:top w:val="nil"/>
              <w:bottom w:val="nil"/>
            </w:tcBorders>
            <w:vAlign w:val="top"/>
          </w:tcPr>
          <w:p w14:paraId="1A9A7DA1">
            <w:pPr>
              <w:rPr>
                <w:rFonts w:ascii="Arial"/>
                <w:sz w:val="21"/>
                <w:highlight w:val="none"/>
              </w:rPr>
            </w:pPr>
          </w:p>
        </w:tc>
        <w:tc>
          <w:tcPr>
            <w:tcW w:w="1622" w:type="dxa"/>
            <w:vMerge w:val="restart"/>
            <w:tcBorders>
              <w:bottom w:val="nil"/>
            </w:tcBorders>
            <w:vAlign w:val="top"/>
          </w:tcPr>
          <w:p w14:paraId="6C1B3C92">
            <w:pPr>
              <w:spacing w:line="270" w:lineRule="auto"/>
              <w:rPr>
                <w:rFonts w:ascii="Arial"/>
                <w:sz w:val="21"/>
                <w:highlight w:val="none"/>
              </w:rPr>
            </w:pPr>
          </w:p>
          <w:p w14:paraId="63E8AD3B">
            <w:pPr>
              <w:spacing w:line="270" w:lineRule="auto"/>
              <w:rPr>
                <w:rFonts w:ascii="Arial"/>
                <w:sz w:val="21"/>
                <w:highlight w:val="none"/>
              </w:rPr>
            </w:pPr>
          </w:p>
          <w:p w14:paraId="2765571F">
            <w:pPr>
              <w:spacing w:line="271" w:lineRule="auto"/>
              <w:rPr>
                <w:rFonts w:ascii="Arial"/>
                <w:sz w:val="21"/>
                <w:highlight w:val="none"/>
              </w:rPr>
            </w:pPr>
          </w:p>
          <w:p w14:paraId="7893535B">
            <w:pPr>
              <w:spacing w:line="271" w:lineRule="auto"/>
              <w:rPr>
                <w:rFonts w:ascii="Arial"/>
                <w:sz w:val="21"/>
                <w:highlight w:val="none"/>
              </w:rPr>
            </w:pPr>
          </w:p>
          <w:p w14:paraId="61C82614">
            <w:pPr>
              <w:spacing w:line="271" w:lineRule="auto"/>
              <w:rPr>
                <w:rFonts w:ascii="Arial"/>
                <w:sz w:val="21"/>
                <w:highlight w:val="none"/>
              </w:rPr>
            </w:pPr>
          </w:p>
          <w:p w14:paraId="03004642">
            <w:pPr>
              <w:spacing w:line="271" w:lineRule="auto"/>
              <w:rPr>
                <w:rFonts w:ascii="Arial"/>
                <w:sz w:val="21"/>
                <w:highlight w:val="none"/>
              </w:rPr>
            </w:pPr>
          </w:p>
          <w:p w14:paraId="085FFCFA">
            <w:pPr>
              <w:pStyle w:val="7"/>
              <w:spacing w:before="71" w:line="230" w:lineRule="auto"/>
              <w:ind w:left="264" w:right="150" w:hanging="108"/>
              <w:rPr>
                <w:sz w:val="22"/>
                <w:szCs w:val="22"/>
                <w:highlight w:val="none"/>
              </w:rPr>
            </w:pPr>
            <w:r>
              <w:rPr>
                <w:spacing w:val="-1"/>
                <w:sz w:val="22"/>
                <w:szCs w:val="22"/>
                <w:highlight w:val="none"/>
              </w:rPr>
              <w:t>6low-e+12A+6</w:t>
            </w:r>
            <w:r>
              <w:rPr>
                <w:sz w:val="22"/>
                <w:szCs w:val="22"/>
                <w:highlight w:val="none"/>
              </w:rPr>
              <w:t xml:space="preserve"> </w:t>
            </w:r>
            <w:r>
              <w:rPr>
                <w:spacing w:val="-2"/>
                <w:sz w:val="22"/>
                <w:szCs w:val="22"/>
                <w:highlight w:val="none"/>
              </w:rPr>
              <w:t>双钢化玻璃</w:t>
            </w:r>
          </w:p>
        </w:tc>
        <w:tc>
          <w:tcPr>
            <w:tcW w:w="1785" w:type="dxa"/>
            <w:vMerge w:val="restart"/>
            <w:tcBorders>
              <w:bottom w:val="nil"/>
            </w:tcBorders>
            <w:vAlign w:val="top"/>
          </w:tcPr>
          <w:p w14:paraId="5DC4C17E">
            <w:pPr>
              <w:spacing w:line="263" w:lineRule="auto"/>
              <w:rPr>
                <w:rFonts w:ascii="Arial"/>
                <w:sz w:val="21"/>
                <w:highlight w:val="none"/>
              </w:rPr>
            </w:pPr>
          </w:p>
          <w:p w14:paraId="5E4484BD">
            <w:pPr>
              <w:spacing w:line="264" w:lineRule="auto"/>
              <w:rPr>
                <w:rFonts w:ascii="Arial"/>
                <w:sz w:val="21"/>
                <w:highlight w:val="none"/>
              </w:rPr>
            </w:pPr>
          </w:p>
          <w:p w14:paraId="7D779E86">
            <w:pPr>
              <w:spacing w:line="264" w:lineRule="auto"/>
              <w:rPr>
                <w:rFonts w:ascii="Arial"/>
                <w:sz w:val="21"/>
                <w:highlight w:val="none"/>
              </w:rPr>
            </w:pPr>
          </w:p>
          <w:p w14:paraId="2A8B6E09">
            <w:pPr>
              <w:pStyle w:val="7"/>
              <w:spacing w:before="71" w:line="220" w:lineRule="auto"/>
              <w:ind w:left="113"/>
              <w:rPr>
                <w:sz w:val="22"/>
                <w:szCs w:val="22"/>
                <w:highlight w:val="none"/>
              </w:rPr>
            </w:pPr>
            <w:r>
              <w:rPr>
                <w:spacing w:val="-3"/>
                <w:sz w:val="22"/>
                <w:szCs w:val="22"/>
                <w:highlight w:val="none"/>
              </w:rPr>
              <w:t>85</w:t>
            </w:r>
            <w:r>
              <w:rPr>
                <w:spacing w:val="-63"/>
                <w:sz w:val="22"/>
                <w:szCs w:val="22"/>
                <w:highlight w:val="none"/>
              </w:rPr>
              <w:t xml:space="preserve"> </w:t>
            </w:r>
            <w:r>
              <w:rPr>
                <w:spacing w:val="-3"/>
                <w:sz w:val="22"/>
                <w:szCs w:val="22"/>
                <w:highlight w:val="none"/>
              </w:rPr>
              <w:t>系列断桥灰色</w:t>
            </w:r>
          </w:p>
        </w:tc>
        <w:tc>
          <w:tcPr>
            <w:tcW w:w="1471" w:type="dxa"/>
            <w:vAlign w:val="top"/>
          </w:tcPr>
          <w:p w14:paraId="3B4E1142">
            <w:pPr>
              <w:pStyle w:val="7"/>
              <w:spacing w:before="58" w:line="221" w:lineRule="auto"/>
              <w:ind w:left="116"/>
              <w:rPr>
                <w:sz w:val="22"/>
                <w:szCs w:val="22"/>
                <w:highlight w:val="none"/>
              </w:rPr>
            </w:pPr>
            <w:r>
              <w:rPr>
                <w:spacing w:val="-3"/>
                <w:sz w:val="22"/>
                <w:szCs w:val="22"/>
                <w:highlight w:val="none"/>
              </w:rPr>
              <w:t>直接安装</w:t>
            </w:r>
          </w:p>
        </w:tc>
        <w:tc>
          <w:tcPr>
            <w:tcW w:w="1268" w:type="dxa"/>
            <w:vAlign w:val="top"/>
          </w:tcPr>
          <w:p w14:paraId="490E7709">
            <w:pPr>
              <w:pStyle w:val="7"/>
              <w:spacing w:before="58" w:line="221" w:lineRule="auto"/>
              <w:ind w:left="179"/>
              <w:rPr>
                <w:sz w:val="22"/>
                <w:szCs w:val="22"/>
                <w:highlight w:val="none"/>
              </w:rPr>
            </w:pPr>
            <w:r>
              <w:rPr>
                <w:spacing w:val="-4"/>
                <w:sz w:val="22"/>
                <w:szCs w:val="22"/>
                <w:highlight w:val="none"/>
              </w:rPr>
              <w:t>580</w:t>
            </w:r>
            <w:r>
              <w:rPr>
                <w:spacing w:val="-45"/>
                <w:sz w:val="22"/>
                <w:szCs w:val="22"/>
                <w:highlight w:val="none"/>
              </w:rPr>
              <w:t xml:space="preserve"> </w:t>
            </w:r>
            <w:r>
              <w:rPr>
                <w:spacing w:val="-4"/>
                <w:sz w:val="22"/>
                <w:szCs w:val="22"/>
                <w:highlight w:val="none"/>
              </w:rPr>
              <w:t>元/㎡</w:t>
            </w:r>
          </w:p>
        </w:tc>
        <w:tc>
          <w:tcPr>
            <w:tcW w:w="600" w:type="dxa"/>
            <w:vAlign w:val="top"/>
          </w:tcPr>
          <w:p w14:paraId="45FCB30A">
            <w:pPr>
              <w:rPr>
                <w:rFonts w:ascii="Arial"/>
                <w:sz w:val="21"/>
                <w:highlight w:val="none"/>
              </w:rPr>
            </w:pPr>
          </w:p>
        </w:tc>
      </w:tr>
      <w:tr w14:paraId="23E1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vAlign w:val="top"/>
          </w:tcPr>
          <w:p w14:paraId="7FD74741">
            <w:pPr>
              <w:rPr>
                <w:rFonts w:ascii="Arial"/>
                <w:sz w:val="21"/>
                <w:highlight w:val="none"/>
              </w:rPr>
            </w:pPr>
          </w:p>
        </w:tc>
        <w:tc>
          <w:tcPr>
            <w:tcW w:w="682" w:type="dxa"/>
            <w:vMerge w:val="continue"/>
            <w:vAlign w:val="top"/>
          </w:tcPr>
          <w:p w14:paraId="76844711">
            <w:pPr>
              <w:rPr>
                <w:rFonts w:ascii="Arial"/>
                <w:sz w:val="21"/>
                <w:highlight w:val="none"/>
              </w:rPr>
            </w:pPr>
          </w:p>
        </w:tc>
        <w:tc>
          <w:tcPr>
            <w:tcW w:w="1649" w:type="dxa"/>
            <w:vMerge w:val="continue"/>
            <w:tcBorders>
              <w:top w:val="nil"/>
              <w:bottom w:val="nil"/>
            </w:tcBorders>
            <w:vAlign w:val="top"/>
          </w:tcPr>
          <w:p w14:paraId="5DCEA760">
            <w:pPr>
              <w:rPr>
                <w:rFonts w:ascii="Arial"/>
                <w:sz w:val="21"/>
                <w:highlight w:val="none"/>
              </w:rPr>
            </w:pPr>
          </w:p>
        </w:tc>
        <w:tc>
          <w:tcPr>
            <w:tcW w:w="1622" w:type="dxa"/>
            <w:vMerge w:val="continue"/>
            <w:tcBorders>
              <w:top w:val="nil"/>
              <w:bottom w:val="nil"/>
            </w:tcBorders>
            <w:vAlign w:val="top"/>
          </w:tcPr>
          <w:p w14:paraId="786FF5FA">
            <w:pPr>
              <w:rPr>
                <w:rFonts w:ascii="Arial"/>
                <w:sz w:val="21"/>
                <w:highlight w:val="none"/>
              </w:rPr>
            </w:pPr>
          </w:p>
        </w:tc>
        <w:tc>
          <w:tcPr>
            <w:tcW w:w="1785" w:type="dxa"/>
            <w:vMerge w:val="continue"/>
            <w:tcBorders>
              <w:top w:val="nil"/>
              <w:bottom w:val="nil"/>
            </w:tcBorders>
            <w:vAlign w:val="top"/>
          </w:tcPr>
          <w:p w14:paraId="3D2D5DA7">
            <w:pPr>
              <w:rPr>
                <w:rFonts w:ascii="Arial"/>
                <w:sz w:val="21"/>
                <w:highlight w:val="none"/>
              </w:rPr>
            </w:pPr>
          </w:p>
        </w:tc>
        <w:tc>
          <w:tcPr>
            <w:tcW w:w="1471" w:type="dxa"/>
            <w:vAlign w:val="top"/>
          </w:tcPr>
          <w:p w14:paraId="7DBA81DD">
            <w:pPr>
              <w:pStyle w:val="7"/>
              <w:spacing w:before="65"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191FEEB4">
            <w:pPr>
              <w:pStyle w:val="7"/>
              <w:spacing w:before="208" w:line="221" w:lineRule="auto"/>
              <w:ind w:left="179"/>
              <w:rPr>
                <w:sz w:val="22"/>
                <w:szCs w:val="22"/>
                <w:highlight w:val="none"/>
              </w:rPr>
            </w:pPr>
            <w:r>
              <w:rPr>
                <w:spacing w:val="-4"/>
                <w:sz w:val="22"/>
                <w:szCs w:val="22"/>
                <w:highlight w:val="none"/>
              </w:rPr>
              <w:t>586</w:t>
            </w:r>
            <w:r>
              <w:rPr>
                <w:spacing w:val="-45"/>
                <w:sz w:val="22"/>
                <w:szCs w:val="22"/>
                <w:highlight w:val="none"/>
              </w:rPr>
              <w:t xml:space="preserve"> </w:t>
            </w:r>
            <w:r>
              <w:rPr>
                <w:spacing w:val="-4"/>
                <w:sz w:val="22"/>
                <w:szCs w:val="22"/>
                <w:highlight w:val="none"/>
              </w:rPr>
              <w:t>元/㎡</w:t>
            </w:r>
          </w:p>
        </w:tc>
        <w:tc>
          <w:tcPr>
            <w:tcW w:w="600" w:type="dxa"/>
            <w:vAlign w:val="top"/>
          </w:tcPr>
          <w:p w14:paraId="02BBA7DA">
            <w:pPr>
              <w:rPr>
                <w:rFonts w:ascii="Arial"/>
                <w:sz w:val="21"/>
                <w:highlight w:val="none"/>
              </w:rPr>
            </w:pPr>
          </w:p>
        </w:tc>
      </w:tr>
      <w:tr w14:paraId="4790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3280B556">
            <w:pPr>
              <w:rPr>
                <w:rFonts w:ascii="Arial"/>
                <w:sz w:val="21"/>
                <w:highlight w:val="none"/>
              </w:rPr>
            </w:pPr>
          </w:p>
        </w:tc>
        <w:tc>
          <w:tcPr>
            <w:tcW w:w="682" w:type="dxa"/>
            <w:vMerge w:val="continue"/>
            <w:vAlign w:val="top"/>
          </w:tcPr>
          <w:p w14:paraId="77B8507B">
            <w:pPr>
              <w:rPr>
                <w:rFonts w:ascii="Arial"/>
                <w:sz w:val="21"/>
                <w:highlight w:val="none"/>
              </w:rPr>
            </w:pPr>
          </w:p>
        </w:tc>
        <w:tc>
          <w:tcPr>
            <w:tcW w:w="1649" w:type="dxa"/>
            <w:vMerge w:val="continue"/>
            <w:tcBorders>
              <w:top w:val="nil"/>
              <w:bottom w:val="nil"/>
            </w:tcBorders>
            <w:vAlign w:val="top"/>
          </w:tcPr>
          <w:p w14:paraId="13BCF2CD">
            <w:pPr>
              <w:rPr>
                <w:rFonts w:ascii="Arial"/>
                <w:sz w:val="21"/>
                <w:highlight w:val="none"/>
              </w:rPr>
            </w:pPr>
          </w:p>
        </w:tc>
        <w:tc>
          <w:tcPr>
            <w:tcW w:w="1622" w:type="dxa"/>
            <w:vMerge w:val="continue"/>
            <w:tcBorders>
              <w:top w:val="nil"/>
              <w:bottom w:val="nil"/>
            </w:tcBorders>
            <w:vAlign w:val="top"/>
          </w:tcPr>
          <w:p w14:paraId="066E44EC">
            <w:pPr>
              <w:rPr>
                <w:rFonts w:ascii="Arial"/>
                <w:sz w:val="21"/>
                <w:highlight w:val="none"/>
              </w:rPr>
            </w:pPr>
          </w:p>
        </w:tc>
        <w:tc>
          <w:tcPr>
            <w:tcW w:w="1785" w:type="dxa"/>
            <w:vMerge w:val="continue"/>
            <w:tcBorders>
              <w:top w:val="nil"/>
              <w:bottom w:val="nil"/>
            </w:tcBorders>
            <w:vAlign w:val="top"/>
          </w:tcPr>
          <w:p w14:paraId="55FF109F">
            <w:pPr>
              <w:rPr>
                <w:rFonts w:ascii="Arial"/>
                <w:sz w:val="21"/>
                <w:highlight w:val="none"/>
              </w:rPr>
            </w:pPr>
          </w:p>
        </w:tc>
        <w:tc>
          <w:tcPr>
            <w:tcW w:w="1471" w:type="dxa"/>
            <w:vAlign w:val="top"/>
          </w:tcPr>
          <w:p w14:paraId="3D648B63">
            <w:pPr>
              <w:pStyle w:val="7"/>
              <w:spacing w:before="210" w:line="220" w:lineRule="auto"/>
              <w:ind w:left="116"/>
              <w:rPr>
                <w:sz w:val="22"/>
                <w:szCs w:val="22"/>
                <w:highlight w:val="none"/>
              </w:rPr>
            </w:pPr>
            <w:r>
              <w:rPr>
                <w:spacing w:val="-2"/>
                <w:sz w:val="22"/>
                <w:szCs w:val="22"/>
                <w:highlight w:val="none"/>
              </w:rPr>
              <w:t>蜘蛛人辅助</w:t>
            </w:r>
          </w:p>
        </w:tc>
        <w:tc>
          <w:tcPr>
            <w:tcW w:w="1268" w:type="dxa"/>
            <w:vAlign w:val="top"/>
          </w:tcPr>
          <w:p w14:paraId="6EAB0B6D">
            <w:pPr>
              <w:pStyle w:val="7"/>
              <w:spacing w:before="210" w:line="221" w:lineRule="auto"/>
              <w:ind w:left="177"/>
              <w:rPr>
                <w:sz w:val="22"/>
                <w:szCs w:val="22"/>
                <w:highlight w:val="none"/>
              </w:rPr>
            </w:pPr>
            <w:r>
              <w:rPr>
                <w:spacing w:val="-4"/>
                <w:sz w:val="22"/>
                <w:szCs w:val="22"/>
                <w:highlight w:val="none"/>
              </w:rPr>
              <w:t>630</w:t>
            </w:r>
            <w:r>
              <w:rPr>
                <w:spacing w:val="-43"/>
                <w:sz w:val="22"/>
                <w:szCs w:val="22"/>
                <w:highlight w:val="none"/>
              </w:rPr>
              <w:t xml:space="preserve"> </w:t>
            </w:r>
            <w:r>
              <w:rPr>
                <w:spacing w:val="-4"/>
                <w:sz w:val="22"/>
                <w:szCs w:val="22"/>
                <w:highlight w:val="none"/>
              </w:rPr>
              <w:t>元/㎡</w:t>
            </w:r>
          </w:p>
        </w:tc>
        <w:tc>
          <w:tcPr>
            <w:tcW w:w="600" w:type="dxa"/>
            <w:vAlign w:val="top"/>
          </w:tcPr>
          <w:p w14:paraId="28CD3733">
            <w:pPr>
              <w:rPr>
                <w:rFonts w:ascii="Arial"/>
                <w:sz w:val="21"/>
                <w:highlight w:val="none"/>
              </w:rPr>
            </w:pPr>
          </w:p>
        </w:tc>
      </w:tr>
      <w:tr w14:paraId="64911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613DC2D2">
            <w:pPr>
              <w:rPr>
                <w:rFonts w:ascii="Arial"/>
                <w:sz w:val="21"/>
                <w:highlight w:val="none"/>
              </w:rPr>
            </w:pPr>
          </w:p>
        </w:tc>
        <w:tc>
          <w:tcPr>
            <w:tcW w:w="682" w:type="dxa"/>
            <w:vMerge w:val="continue"/>
            <w:vAlign w:val="top"/>
          </w:tcPr>
          <w:p w14:paraId="78B50F02">
            <w:pPr>
              <w:rPr>
                <w:rFonts w:ascii="Arial"/>
                <w:sz w:val="21"/>
                <w:highlight w:val="none"/>
              </w:rPr>
            </w:pPr>
          </w:p>
        </w:tc>
        <w:tc>
          <w:tcPr>
            <w:tcW w:w="1649" w:type="dxa"/>
            <w:vMerge w:val="continue"/>
            <w:tcBorders>
              <w:top w:val="nil"/>
              <w:bottom w:val="nil"/>
            </w:tcBorders>
            <w:vAlign w:val="top"/>
          </w:tcPr>
          <w:p w14:paraId="4788E324">
            <w:pPr>
              <w:rPr>
                <w:rFonts w:ascii="Arial"/>
                <w:sz w:val="21"/>
                <w:highlight w:val="none"/>
              </w:rPr>
            </w:pPr>
          </w:p>
        </w:tc>
        <w:tc>
          <w:tcPr>
            <w:tcW w:w="1622" w:type="dxa"/>
            <w:vMerge w:val="continue"/>
            <w:tcBorders>
              <w:top w:val="nil"/>
              <w:bottom w:val="nil"/>
            </w:tcBorders>
            <w:vAlign w:val="top"/>
          </w:tcPr>
          <w:p w14:paraId="431754AD">
            <w:pPr>
              <w:rPr>
                <w:rFonts w:ascii="Arial"/>
                <w:sz w:val="21"/>
                <w:highlight w:val="none"/>
              </w:rPr>
            </w:pPr>
          </w:p>
        </w:tc>
        <w:tc>
          <w:tcPr>
            <w:tcW w:w="1785" w:type="dxa"/>
            <w:vMerge w:val="continue"/>
            <w:tcBorders>
              <w:top w:val="nil"/>
            </w:tcBorders>
            <w:vAlign w:val="top"/>
          </w:tcPr>
          <w:p w14:paraId="5F505AFF">
            <w:pPr>
              <w:rPr>
                <w:rFonts w:ascii="Arial"/>
                <w:sz w:val="21"/>
                <w:highlight w:val="none"/>
              </w:rPr>
            </w:pPr>
          </w:p>
        </w:tc>
        <w:tc>
          <w:tcPr>
            <w:tcW w:w="1471" w:type="dxa"/>
            <w:vAlign w:val="top"/>
          </w:tcPr>
          <w:p w14:paraId="3CC4464B">
            <w:pPr>
              <w:pStyle w:val="7"/>
              <w:spacing w:before="59" w:line="221" w:lineRule="auto"/>
              <w:ind w:left="141"/>
              <w:rPr>
                <w:sz w:val="22"/>
                <w:szCs w:val="22"/>
                <w:highlight w:val="none"/>
              </w:rPr>
            </w:pPr>
            <w:r>
              <w:rPr>
                <w:spacing w:val="-9"/>
                <w:sz w:val="22"/>
                <w:szCs w:val="22"/>
                <w:highlight w:val="none"/>
              </w:rPr>
              <w:t>吊篮辅助</w:t>
            </w:r>
          </w:p>
        </w:tc>
        <w:tc>
          <w:tcPr>
            <w:tcW w:w="1268" w:type="dxa"/>
            <w:vAlign w:val="top"/>
          </w:tcPr>
          <w:p w14:paraId="4C5D46A0">
            <w:pPr>
              <w:pStyle w:val="7"/>
              <w:spacing w:before="59" w:line="221" w:lineRule="auto"/>
              <w:ind w:left="179"/>
              <w:rPr>
                <w:sz w:val="22"/>
                <w:szCs w:val="22"/>
                <w:highlight w:val="none"/>
              </w:rPr>
            </w:pPr>
            <w:r>
              <w:rPr>
                <w:spacing w:val="-4"/>
                <w:sz w:val="22"/>
                <w:szCs w:val="22"/>
                <w:highlight w:val="none"/>
              </w:rPr>
              <w:t>590</w:t>
            </w:r>
            <w:r>
              <w:rPr>
                <w:spacing w:val="-45"/>
                <w:sz w:val="22"/>
                <w:szCs w:val="22"/>
                <w:highlight w:val="none"/>
              </w:rPr>
              <w:t xml:space="preserve"> </w:t>
            </w:r>
            <w:r>
              <w:rPr>
                <w:spacing w:val="-4"/>
                <w:sz w:val="22"/>
                <w:szCs w:val="22"/>
                <w:highlight w:val="none"/>
              </w:rPr>
              <w:t>元/㎡</w:t>
            </w:r>
          </w:p>
        </w:tc>
        <w:tc>
          <w:tcPr>
            <w:tcW w:w="600" w:type="dxa"/>
            <w:vAlign w:val="top"/>
          </w:tcPr>
          <w:p w14:paraId="5BB7B383">
            <w:pPr>
              <w:rPr>
                <w:rFonts w:ascii="Arial"/>
                <w:sz w:val="21"/>
                <w:highlight w:val="none"/>
              </w:rPr>
            </w:pPr>
          </w:p>
        </w:tc>
      </w:tr>
      <w:tr w14:paraId="6796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555F7423">
            <w:pPr>
              <w:rPr>
                <w:rFonts w:ascii="Arial"/>
                <w:sz w:val="21"/>
                <w:highlight w:val="none"/>
              </w:rPr>
            </w:pPr>
          </w:p>
        </w:tc>
        <w:tc>
          <w:tcPr>
            <w:tcW w:w="682" w:type="dxa"/>
            <w:vMerge w:val="continue"/>
            <w:vAlign w:val="top"/>
          </w:tcPr>
          <w:p w14:paraId="1E84DF63">
            <w:pPr>
              <w:rPr>
                <w:rFonts w:ascii="Arial"/>
                <w:sz w:val="21"/>
                <w:highlight w:val="none"/>
              </w:rPr>
            </w:pPr>
          </w:p>
        </w:tc>
        <w:tc>
          <w:tcPr>
            <w:tcW w:w="1649" w:type="dxa"/>
            <w:vMerge w:val="continue"/>
            <w:tcBorders>
              <w:top w:val="nil"/>
              <w:bottom w:val="nil"/>
            </w:tcBorders>
            <w:vAlign w:val="top"/>
          </w:tcPr>
          <w:p w14:paraId="4F2571F2">
            <w:pPr>
              <w:rPr>
                <w:rFonts w:ascii="Arial"/>
                <w:sz w:val="21"/>
                <w:highlight w:val="none"/>
              </w:rPr>
            </w:pPr>
          </w:p>
        </w:tc>
        <w:tc>
          <w:tcPr>
            <w:tcW w:w="1622" w:type="dxa"/>
            <w:vMerge w:val="continue"/>
            <w:tcBorders>
              <w:top w:val="nil"/>
              <w:bottom w:val="nil"/>
            </w:tcBorders>
            <w:vAlign w:val="top"/>
          </w:tcPr>
          <w:p w14:paraId="7ABECE3D">
            <w:pPr>
              <w:rPr>
                <w:rFonts w:ascii="Arial"/>
                <w:sz w:val="21"/>
                <w:highlight w:val="none"/>
              </w:rPr>
            </w:pPr>
          </w:p>
        </w:tc>
        <w:tc>
          <w:tcPr>
            <w:tcW w:w="1785" w:type="dxa"/>
            <w:vMerge w:val="restart"/>
            <w:tcBorders>
              <w:bottom w:val="nil"/>
            </w:tcBorders>
            <w:vAlign w:val="top"/>
          </w:tcPr>
          <w:p w14:paraId="3F5A235A">
            <w:pPr>
              <w:spacing w:line="264" w:lineRule="auto"/>
              <w:rPr>
                <w:rFonts w:ascii="Arial"/>
                <w:sz w:val="21"/>
                <w:highlight w:val="none"/>
              </w:rPr>
            </w:pPr>
          </w:p>
          <w:p w14:paraId="5508EF3A">
            <w:pPr>
              <w:spacing w:line="264" w:lineRule="auto"/>
              <w:rPr>
                <w:rFonts w:ascii="Arial"/>
                <w:sz w:val="21"/>
                <w:highlight w:val="none"/>
              </w:rPr>
            </w:pPr>
          </w:p>
          <w:p w14:paraId="357401E3">
            <w:pPr>
              <w:spacing w:line="265" w:lineRule="auto"/>
              <w:rPr>
                <w:rFonts w:ascii="Arial"/>
                <w:sz w:val="21"/>
                <w:highlight w:val="none"/>
              </w:rPr>
            </w:pPr>
          </w:p>
          <w:p w14:paraId="68D63205">
            <w:pPr>
              <w:pStyle w:val="7"/>
              <w:spacing w:before="71" w:line="219" w:lineRule="auto"/>
              <w:ind w:left="245"/>
              <w:rPr>
                <w:sz w:val="22"/>
                <w:szCs w:val="22"/>
                <w:highlight w:val="none"/>
              </w:rPr>
            </w:pPr>
            <w:r>
              <w:rPr>
                <w:spacing w:val="-3"/>
                <w:sz w:val="22"/>
                <w:szCs w:val="22"/>
                <w:highlight w:val="none"/>
              </w:rPr>
              <w:t>（不含型材）</w:t>
            </w:r>
          </w:p>
        </w:tc>
        <w:tc>
          <w:tcPr>
            <w:tcW w:w="1471" w:type="dxa"/>
            <w:vAlign w:val="top"/>
          </w:tcPr>
          <w:p w14:paraId="75D031FC">
            <w:pPr>
              <w:pStyle w:val="7"/>
              <w:spacing w:before="58" w:line="221" w:lineRule="auto"/>
              <w:ind w:left="116"/>
              <w:rPr>
                <w:sz w:val="22"/>
                <w:szCs w:val="22"/>
                <w:highlight w:val="none"/>
              </w:rPr>
            </w:pPr>
            <w:r>
              <w:rPr>
                <w:spacing w:val="-3"/>
                <w:sz w:val="22"/>
                <w:szCs w:val="22"/>
                <w:highlight w:val="none"/>
              </w:rPr>
              <w:t>直接安装</w:t>
            </w:r>
          </w:p>
        </w:tc>
        <w:tc>
          <w:tcPr>
            <w:tcW w:w="1268" w:type="dxa"/>
            <w:vAlign w:val="top"/>
          </w:tcPr>
          <w:p w14:paraId="5E704BB4">
            <w:pPr>
              <w:pStyle w:val="7"/>
              <w:spacing w:before="58" w:line="221" w:lineRule="auto"/>
              <w:ind w:left="178"/>
              <w:rPr>
                <w:sz w:val="22"/>
                <w:szCs w:val="22"/>
                <w:highlight w:val="none"/>
              </w:rPr>
            </w:pPr>
            <w:r>
              <w:rPr>
                <w:spacing w:val="-4"/>
                <w:sz w:val="22"/>
                <w:szCs w:val="22"/>
                <w:highlight w:val="none"/>
              </w:rPr>
              <w:t>280</w:t>
            </w:r>
            <w:r>
              <w:rPr>
                <w:spacing w:val="-43"/>
                <w:sz w:val="22"/>
                <w:szCs w:val="22"/>
                <w:highlight w:val="none"/>
              </w:rPr>
              <w:t xml:space="preserve"> </w:t>
            </w:r>
            <w:r>
              <w:rPr>
                <w:spacing w:val="-4"/>
                <w:sz w:val="22"/>
                <w:szCs w:val="22"/>
                <w:highlight w:val="none"/>
              </w:rPr>
              <w:t>元/㎡</w:t>
            </w:r>
          </w:p>
        </w:tc>
        <w:tc>
          <w:tcPr>
            <w:tcW w:w="600" w:type="dxa"/>
            <w:vAlign w:val="top"/>
          </w:tcPr>
          <w:p w14:paraId="253685DA">
            <w:pPr>
              <w:rPr>
                <w:rFonts w:ascii="Arial"/>
                <w:sz w:val="21"/>
                <w:highlight w:val="none"/>
              </w:rPr>
            </w:pPr>
          </w:p>
        </w:tc>
      </w:tr>
      <w:tr w14:paraId="3B77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21D35169">
            <w:pPr>
              <w:rPr>
                <w:rFonts w:ascii="Arial"/>
                <w:sz w:val="21"/>
                <w:highlight w:val="none"/>
              </w:rPr>
            </w:pPr>
          </w:p>
        </w:tc>
        <w:tc>
          <w:tcPr>
            <w:tcW w:w="682" w:type="dxa"/>
            <w:vMerge w:val="continue"/>
            <w:vAlign w:val="top"/>
          </w:tcPr>
          <w:p w14:paraId="21B8C188">
            <w:pPr>
              <w:rPr>
                <w:rFonts w:ascii="Arial"/>
                <w:sz w:val="21"/>
                <w:highlight w:val="none"/>
              </w:rPr>
            </w:pPr>
          </w:p>
        </w:tc>
        <w:tc>
          <w:tcPr>
            <w:tcW w:w="1649" w:type="dxa"/>
            <w:vMerge w:val="continue"/>
            <w:tcBorders>
              <w:top w:val="nil"/>
              <w:bottom w:val="nil"/>
            </w:tcBorders>
            <w:vAlign w:val="top"/>
          </w:tcPr>
          <w:p w14:paraId="2E2C456B">
            <w:pPr>
              <w:rPr>
                <w:rFonts w:ascii="Arial"/>
                <w:sz w:val="21"/>
                <w:highlight w:val="none"/>
              </w:rPr>
            </w:pPr>
          </w:p>
        </w:tc>
        <w:tc>
          <w:tcPr>
            <w:tcW w:w="1622" w:type="dxa"/>
            <w:vMerge w:val="continue"/>
            <w:tcBorders>
              <w:top w:val="nil"/>
              <w:bottom w:val="nil"/>
            </w:tcBorders>
            <w:vAlign w:val="top"/>
          </w:tcPr>
          <w:p w14:paraId="0D6F8880">
            <w:pPr>
              <w:rPr>
                <w:rFonts w:ascii="Arial"/>
                <w:sz w:val="21"/>
                <w:highlight w:val="none"/>
              </w:rPr>
            </w:pPr>
          </w:p>
        </w:tc>
        <w:tc>
          <w:tcPr>
            <w:tcW w:w="1785" w:type="dxa"/>
            <w:vMerge w:val="continue"/>
            <w:tcBorders>
              <w:top w:val="nil"/>
              <w:bottom w:val="nil"/>
            </w:tcBorders>
            <w:vAlign w:val="top"/>
          </w:tcPr>
          <w:p w14:paraId="71ECDA19">
            <w:pPr>
              <w:rPr>
                <w:rFonts w:ascii="Arial"/>
                <w:sz w:val="21"/>
                <w:highlight w:val="none"/>
              </w:rPr>
            </w:pPr>
          </w:p>
        </w:tc>
        <w:tc>
          <w:tcPr>
            <w:tcW w:w="1471" w:type="dxa"/>
            <w:vAlign w:val="top"/>
          </w:tcPr>
          <w:p w14:paraId="7DC00A76">
            <w:pPr>
              <w:pStyle w:val="7"/>
              <w:spacing w:before="66"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7705CD9B">
            <w:pPr>
              <w:pStyle w:val="7"/>
              <w:spacing w:before="210" w:line="221" w:lineRule="auto"/>
              <w:ind w:left="178"/>
              <w:rPr>
                <w:sz w:val="22"/>
                <w:szCs w:val="22"/>
                <w:highlight w:val="none"/>
              </w:rPr>
            </w:pPr>
            <w:r>
              <w:rPr>
                <w:spacing w:val="-4"/>
                <w:sz w:val="22"/>
                <w:szCs w:val="22"/>
                <w:highlight w:val="none"/>
              </w:rPr>
              <w:t>286</w:t>
            </w:r>
            <w:r>
              <w:rPr>
                <w:spacing w:val="-43"/>
                <w:sz w:val="22"/>
                <w:szCs w:val="22"/>
                <w:highlight w:val="none"/>
              </w:rPr>
              <w:t xml:space="preserve"> </w:t>
            </w:r>
            <w:r>
              <w:rPr>
                <w:spacing w:val="-4"/>
                <w:sz w:val="22"/>
                <w:szCs w:val="22"/>
                <w:highlight w:val="none"/>
              </w:rPr>
              <w:t>元/㎡</w:t>
            </w:r>
          </w:p>
        </w:tc>
        <w:tc>
          <w:tcPr>
            <w:tcW w:w="600" w:type="dxa"/>
            <w:vAlign w:val="top"/>
          </w:tcPr>
          <w:p w14:paraId="073C8528">
            <w:pPr>
              <w:rPr>
                <w:rFonts w:ascii="Arial"/>
                <w:sz w:val="21"/>
                <w:highlight w:val="none"/>
              </w:rPr>
            </w:pPr>
          </w:p>
        </w:tc>
      </w:tr>
      <w:tr w14:paraId="7358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14A108A9">
            <w:pPr>
              <w:rPr>
                <w:rFonts w:ascii="Arial"/>
                <w:sz w:val="21"/>
                <w:highlight w:val="none"/>
              </w:rPr>
            </w:pPr>
          </w:p>
        </w:tc>
        <w:tc>
          <w:tcPr>
            <w:tcW w:w="682" w:type="dxa"/>
            <w:vMerge w:val="continue"/>
            <w:vAlign w:val="top"/>
          </w:tcPr>
          <w:p w14:paraId="045DEBBD">
            <w:pPr>
              <w:rPr>
                <w:rFonts w:ascii="Arial"/>
                <w:sz w:val="21"/>
                <w:highlight w:val="none"/>
              </w:rPr>
            </w:pPr>
          </w:p>
        </w:tc>
        <w:tc>
          <w:tcPr>
            <w:tcW w:w="1649" w:type="dxa"/>
            <w:vMerge w:val="continue"/>
            <w:tcBorders>
              <w:top w:val="nil"/>
              <w:bottom w:val="nil"/>
            </w:tcBorders>
            <w:vAlign w:val="top"/>
          </w:tcPr>
          <w:p w14:paraId="7760257A">
            <w:pPr>
              <w:rPr>
                <w:rFonts w:ascii="Arial"/>
                <w:sz w:val="21"/>
                <w:highlight w:val="none"/>
              </w:rPr>
            </w:pPr>
          </w:p>
        </w:tc>
        <w:tc>
          <w:tcPr>
            <w:tcW w:w="1622" w:type="dxa"/>
            <w:vMerge w:val="continue"/>
            <w:tcBorders>
              <w:top w:val="nil"/>
              <w:bottom w:val="nil"/>
            </w:tcBorders>
            <w:vAlign w:val="top"/>
          </w:tcPr>
          <w:p w14:paraId="1F8D5993">
            <w:pPr>
              <w:rPr>
                <w:rFonts w:ascii="Arial"/>
                <w:sz w:val="21"/>
                <w:highlight w:val="none"/>
              </w:rPr>
            </w:pPr>
          </w:p>
        </w:tc>
        <w:tc>
          <w:tcPr>
            <w:tcW w:w="1785" w:type="dxa"/>
            <w:vMerge w:val="continue"/>
            <w:tcBorders>
              <w:top w:val="nil"/>
              <w:bottom w:val="nil"/>
            </w:tcBorders>
            <w:vAlign w:val="top"/>
          </w:tcPr>
          <w:p w14:paraId="469C42E8">
            <w:pPr>
              <w:rPr>
                <w:rFonts w:ascii="Arial"/>
                <w:sz w:val="21"/>
                <w:highlight w:val="none"/>
              </w:rPr>
            </w:pPr>
          </w:p>
        </w:tc>
        <w:tc>
          <w:tcPr>
            <w:tcW w:w="1471" w:type="dxa"/>
            <w:vAlign w:val="top"/>
          </w:tcPr>
          <w:p w14:paraId="738534AB">
            <w:pPr>
              <w:pStyle w:val="7"/>
              <w:spacing w:before="208" w:line="220" w:lineRule="auto"/>
              <w:ind w:left="116"/>
              <w:rPr>
                <w:sz w:val="22"/>
                <w:szCs w:val="22"/>
                <w:highlight w:val="none"/>
              </w:rPr>
            </w:pPr>
            <w:r>
              <w:rPr>
                <w:spacing w:val="-2"/>
                <w:sz w:val="22"/>
                <w:szCs w:val="22"/>
                <w:highlight w:val="none"/>
              </w:rPr>
              <w:t>蜘蛛人辅助</w:t>
            </w:r>
          </w:p>
        </w:tc>
        <w:tc>
          <w:tcPr>
            <w:tcW w:w="1268" w:type="dxa"/>
            <w:vAlign w:val="top"/>
          </w:tcPr>
          <w:p w14:paraId="251DF9E2">
            <w:pPr>
              <w:pStyle w:val="7"/>
              <w:spacing w:before="208" w:line="221" w:lineRule="auto"/>
              <w:ind w:left="179"/>
              <w:rPr>
                <w:sz w:val="22"/>
                <w:szCs w:val="22"/>
                <w:highlight w:val="none"/>
              </w:rPr>
            </w:pPr>
            <w:r>
              <w:rPr>
                <w:spacing w:val="-4"/>
                <w:sz w:val="22"/>
                <w:szCs w:val="22"/>
                <w:highlight w:val="none"/>
              </w:rPr>
              <w:t>330</w:t>
            </w:r>
            <w:r>
              <w:rPr>
                <w:spacing w:val="-45"/>
                <w:sz w:val="22"/>
                <w:szCs w:val="22"/>
                <w:highlight w:val="none"/>
              </w:rPr>
              <w:t xml:space="preserve"> </w:t>
            </w:r>
            <w:r>
              <w:rPr>
                <w:spacing w:val="-4"/>
                <w:sz w:val="22"/>
                <w:szCs w:val="22"/>
                <w:highlight w:val="none"/>
              </w:rPr>
              <w:t>元/㎡</w:t>
            </w:r>
          </w:p>
        </w:tc>
        <w:tc>
          <w:tcPr>
            <w:tcW w:w="600" w:type="dxa"/>
            <w:vAlign w:val="top"/>
          </w:tcPr>
          <w:p w14:paraId="18ED383F">
            <w:pPr>
              <w:rPr>
                <w:rFonts w:ascii="Arial"/>
                <w:sz w:val="21"/>
                <w:highlight w:val="none"/>
              </w:rPr>
            </w:pPr>
          </w:p>
        </w:tc>
      </w:tr>
      <w:tr w14:paraId="3AE1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2934F670">
            <w:pPr>
              <w:rPr>
                <w:rFonts w:ascii="Arial"/>
                <w:sz w:val="21"/>
                <w:highlight w:val="none"/>
              </w:rPr>
            </w:pPr>
          </w:p>
        </w:tc>
        <w:tc>
          <w:tcPr>
            <w:tcW w:w="682" w:type="dxa"/>
            <w:vMerge w:val="continue"/>
            <w:vAlign w:val="top"/>
          </w:tcPr>
          <w:p w14:paraId="487BB1B4">
            <w:pPr>
              <w:rPr>
                <w:rFonts w:ascii="Arial"/>
                <w:sz w:val="21"/>
                <w:highlight w:val="none"/>
              </w:rPr>
            </w:pPr>
          </w:p>
        </w:tc>
        <w:tc>
          <w:tcPr>
            <w:tcW w:w="1649" w:type="dxa"/>
            <w:vMerge w:val="continue"/>
            <w:tcBorders>
              <w:top w:val="nil"/>
            </w:tcBorders>
            <w:vAlign w:val="top"/>
          </w:tcPr>
          <w:p w14:paraId="1469F258">
            <w:pPr>
              <w:rPr>
                <w:rFonts w:ascii="Arial"/>
                <w:sz w:val="21"/>
                <w:highlight w:val="none"/>
              </w:rPr>
            </w:pPr>
          </w:p>
        </w:tc>
        <w:tc>
          <w:tcPr>
            <w:tcW w:w="1622" w:type="dxa"/>
            <w:vMerge w:val="continue"/>
            <w:tcBorders>
              <w:top w:val="nil"/>
            </w:tcBorders>
            <w:vAlign w:val="top"/>
          </w:tcPr>
          <w:p w14:paraId="4316E807">
            <w:pPr>
              <w:rPr>
                <w:rFonts w:ascii="Arial"/>
                <w:sz w:val="21"/>
                <w:highlight w:val="none"/>
              </w:rPr>
            </w:pPr>
          </w:p>
        </w:tc>
        <w:tc>
          <w:tcPr>
            <w:tcW w:w="1785" w:type="dxa"/>
            <w:vMerge w:val="continue"/>
            <w:tcBorders>
              <w:top w:val="nil"/>
            </w:tcBorders>
            <w:vAlign w:val="top"/>
          </w:tcPr>
          <w:p w14:paraId="4BB1CD9A">
            <w:pPr>
              <w:rPr>
                <w:rFonts w:ascii="Arial"/>
                <w:sz w:val="21"/>
                <w:highlight w:val="none"/>
              </w:rPr>
            </w:pPr>
          </w:p>
        </w:tc>
        <w:tc>
          <w:tcPr>
            <w:tcW w:w="1471" w:type="dxa"/>
            <w:vAlign w:val="top"/>
          </w:tcPr>
          <w:p w14:paraId="79BDA372">
            <w:pPr>
              <w:pStyle w:val="7"/>
              <w:spacing w:before="58" w:line="221" w:lineRule="auto"/>
              <w:ind w:left="141"/>
              <w:rPr>
                <w:sz w:val="22"/>
                <w:szCs w:val="22"/>
                <w:highlight w:val="none"/>
              </w:rPr>
            </w:pPr>
            <w:r>
              <w:rPr>
                <w:spacing w:val="-9"/>
                <w:sz w:val="22"/>
                <w:szCs w:val="22"/>
                <w:highlight w:val="none"/>
              </w:rPr>
              <w:t>吊篮辅助</w:t>
            </w:r>
          </w:p>
        </w:tc>
        <w:tc>
          <w:tcPr>
            <w:tcW w:w="1268" w:type="dxa"/>
            <w:vAlign w:val="top"/>
          </w:tcPr>
          <w:p w14:paraId="180B5A68">
            <w:pPr>
              <w:pStyle w:val="7"/>
              <w:spacing w:before="58" w:line="221" w:lineRule="auto"/>
              <w:ind w:left="178"/>
              <w:rPr>
                <w:sz w:val="22"/>
                <w:szCs w:val="22"/>
                <w:highlight w:val="none"/>
              </w:rPr>
            </w:pPr>
            <w:r>
              <w:rPr>
                <w:spacing w:val="-4"/>
                <w:sz w:val="22"/>
                <w:szCs w:val="22"/>
                <w:highlight w:val="none"/>
              </w:rPr>
              <w:t>290</w:t>
            </w:r>
            <w:r>
              <w:rPr>
                <w:spacing w:val="-43"/>
                <w:sz w:val="22"/>
                <w:szCs w:val="22"/>
                <w:highlight w:val="none"/>
              </w:rPr>
              <w:t xml:space="preserve"> </w:t>
            </w:r>
            <w:r>
              <w:rPr>
                <w:spacing w:val="-4"/>
                <w:sz w:val="22"/>
                <w:szCs w:val="22"/>
                <w:highlight w:val="none"/>
              </w:rPr>
              <w:t>元/㎡</w:t>
            </w:r>
          </w:p>
        </w:tc>
        <w:tc>
          <w:tcPr>
            <w:tcW w:w="600" w:type="dxa"/>
            <w:vAlign w:val="top"/>
          </w:tcPr>
          <w:p w14:paraId="17D59E9C">
            <w:pPr>
              <w:rPr>
                <w:rFonts w:ascii="Arial"/>
                <w:sz w:val="21"/>
                <w:highlight w:val="none"/>
              </w:rPr>
            </w:pPr>
          </w:p>
        </w:tc>
      </w:tr>
      <w:tr w14:paraId="4A87E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7A6758F8">
            <w:pPr>
              <w:rPr>
                <w:rFonts w:ascii="Arial"/>
                <w:sz w:val="21"/>
                <w:highlight w:val="none"/>
              </w:rPr>
            </w:pPr>
          </w:p>
        </w:tc>
        <w:tc>
          <w:tcPr>
            <w:tcW w:w="682" w:type="dxa"/>
            <w:vMerge w:val="continue"/>
            <w:vAlign w:val="top"/>
          </w:tcPr>
          <w:p w14:paraId="5F97D75D">
            <w:pPr>
              <w:rPr>
                <w:rFonts w:ascii="Arial"/>
                <w:sz w:val="21"/>
                <w:highlight w:val="none"/>
              </w:rPr>
            </w:pPr>
          </w:p>
        </w:tc>
        <w:tc>
          <w:tcPr>
            <w:tcW w:w="1649" w:type="dxa"/>
            <w:vMerge w:val="restart"/>
            <w:vAlign w:val="top"/>
          </w:tcPr>
          <w:p w14:paraId="7C4B2980">
            <w:pPr>
              <w:spacing w:line="248" w:lineRule="auto"/>
              <w:rPr>
                <w:rFonts w:ascii="Arial"/>
                <w:sz w:val="21"/>
                <w:highlight w:val="none"/>
              </w:rPr>
            </w:pPr>
          </w:p>
          <w:p w14:paraId="60E37760">
            <w:pPr>
              <w:spacing w:line="248" w:lineRule="auto"/>
              <w:rPr>
                <w:rFonts w:ascii="Arial"/>
                <w:sz w:val="21"/>
                <w:highlight w:val="none"/>
              </w:rPr>
            </w:pPr>
          </w:p>
          <w:p w14:paraId="425875B5">
            <w:pPr>
              <w:spacing w:line="248" w:lineRule="auto"/>
              <w:rPr>
                <w:rFonts w:ascii="Arial"/>
                <w:sz w:val="21"/>
                <w:highlight w:val="none"/>
              </w:rPr>
            </w:pPr>
          </w:p>
          <w:p w14:paraId="0832B249">
            <w:pPr>
              <w:spacing w:line="248" w:lineRule="auto"/>
              <w:rPr>
                <w:rFonts w:ascii="Arial"/>
                <w:sz w:val="21"/>
                <w:highlight w:val="none"/>
              </w:rPr>
            </w:pPr>
          </w:p>
          <w:p w14:paraId="1E541463">
            <w:pPr>
              <w:spacing w:line="248" w:lineRule="auto"/>
              <w:rPr>
                <w:rFonts w:ascii="Arial"/>
                <w:sz w:val="21"/>
                <w:highlight w:val="none"/>
              </w:rPr>
            </w:pPr>
          </w:p>
          <w:p w14:paraId="0486B189">
            <w:pPr>
              <w:spacing w:line="248" w:lineRule="auto"/>
              <w:rPr>
                <w:rFonts w:ascii="Arial"/>
                <w:sz w:val="21"/>
                <w:highlight w:val="none"/>
              </w:rPr>
            </w:pPr>
          </w:p>
          <w:p w14:paraId="5C3FAF03">
            <w:pPr>
              <w:spacing w:line="248" w:lineRule="auto"/>
              <w:rPr>
                <w:rFonts w:ascii="Arial"/>
                <w:sz w:val="21"/>
                <w:highlight w:val="none"/>
              </w:rPr>
            </w:pPr>
          </w:p>
          <w:p w14:paraId="3DADF80B">
            <w:pPr>
              <w:spacing w:line="248" w:lineRule="auto"/>
              <w:rPr>
                <w:rFonts w:ascii="Arial"/>
                <w:sz w:val="21"/>
                <w:highlight w:val="none"/>
              </w:rPr>
            </w:pPr>
          </w:p>
          <w:p w14:paraId="4EB7A550">
            <w:pPr>
              <w:spacing w:line="248" w:lineRule="auto"/>
              <w:rPr>
                <w:rFonts w:ascii="Arial"/>
                <w:sz w:val="21"/>
                <w:highlight w:val="none"/>
              </w:rPr>
            </w:pPr>
          </w:p>
          <w:p w14:paraId="48EBAD6A">
            <w:pPr>
              <w:spacing w:line="248" w:lineRule="auto"/>
              <w:rPr>
                <w:rFonts w:ascii="Arial"/>
                <w:sz w:val="21"/>
                <w:highlight w:val="none"/>
              </w:rPr>
            </w:pPr>
          </w:p>
          <w:p w14:paraId="20FD7263">
            <w:pPr>
              <w:spacing w:line="248" w:lineRule="auto"/>
              <w:rPr>
                <w:rFonts w:ascii="Arial"/>
                <w:sz w:val="21"/>
                <w:highlight w:val="none"/>
              </w:rPr>
            </w:pPr>
          </w:p>
          <w:p w14:paraId="5D9A4A58">
            <w:pPr>
              <w:spacing w:line="249" w:lineRule="auto"/>
              <w:rPr>
                <w:rFonts w:ascii="Arial"/>
                <w:sz w:val="21"/>
                <w:highlight w:val="none"/>
              </w:rPr>
            </w:pPr>
          </w:p>
          <w:p w14:paraId="43AB4080">
            <w:pPr>
              <w:spacing w:line="249" w:lineRule="auto"/>
              <w:rPr>
                <w:rFonts w:ascii="Arial"/>
                <w:sz w:val="21"/>
                <w:highlight w:val="none"/>
              </w:rPr>
            </w:pPr>
          </w:p>
          <w:p w14:paraId="30362821">
            <w:pPr>
              <w:pStyle w:val="7"/>
              <w:spacing w:before="72" w:line="221" w:lineRule="auto"/>
              <w:ind w:left="168"/>
              <w:rPr>
                <w:sz w:val="22"/>
                <w:szCs w:val="22"/>
                <w:highlight w:val="none"/>
              </w:rPr>
            </w:pPr>
            <w:r>
              <w:rPr>
                <w:spacing w:val="-2"/>
                <w:sz w:val="22"/>
                <w:szCs w:val="22"/>
                <w:highlight w:val="none"/>
              </w:rPr>
              <w:t>铝合金固定窗</w:t>
            </w:r>
          </w:p>
        </w:tc>
        <w:tc>
          <w:tcPr>
            <w:tcW w:w="1622" w:type="dxa"/>
            <w:vMerge w:val="restart"/>
            <w:tcBorders>
              <w:bottom w:val="nil"/>
            </w:tcBorders>
            <w:vAlign w:val="top"/>
          </w:tcPr>
          <w:p w14:paraId="0E407117">
            <w:pPr>
              <w:spacing w:line="252" w:lineRule="auto"/>
              <w:rPr>
                <w:rFonts w:ascii="Arial"/>
                <w:sz w:val="21"/>
                <w:highlight w:val="none"/>
              </w:rPr>
            </w:pPr>
          </w:p>
          <w:p w14:paraId="5AA76757">
            <w:pPr>
              <w:spacing w:line="252" w:lineRule="auto"/>
              <w:rPr>
                <w:rFonts w:ascii="Arial"/>
                <w:sz w:val="21"/>
                <w:highlight w:val="none"/>
              </w:rPr>
            </w:pPr>
          </w:p>
          <w:p w14:paraId="6FFB0C58">
            <w:pPr>
              <w:spacing w:line="252" w:lineRule="auto"/>
              <w:rPr>
                <w:rFonts w:ascii="Arial"/>
                <w:sz w:val="21"/>
                <w:highlight w:val="none"/>
              </w:rPr>
            </w:pPr>
          </w:p>
          <w:p w14:paraId="1F1C2914">
            <w:pPr>
              <w:spacing w:line="252" w:lineRule="auto"/>
              <w:rPr>
                <w:rFonts w:ascii="Arial"/>
                <w:sz w:val="21"/>
                <w:highlight w:val="none"/>
              </w:rPr>
            </w:pPr>
          </w:p>
          <w:p w14:paraId="0E69073F">
            <w:pPr>
              <w:spacing w:line="252" w:lineRule="auto"/>
              <w:rPr>
                <w:rFonts w:ascii="Arial"/>
                <w:sz w:val="21"/>
                <w:highlight w:val="none"/>
              </w:rPr>
            </w:pPr>
          </w:p>
          <w:p w14:paraId="624CB241">
            <w:pPr>
              <w:spacing w:line="253" w:lineRule="auto"/>
              <w:rPr>
                <w:rFonts w:ascii="Arial"/>
                <w:sz w:val="21"/>
                <w:highlight w:val="none"/>
              </w:rPr>
            </w:pPr>
          </w:p>
          <w:p w14:paraId="7A223694">
            <w:pPr>
              <w:spacing w:line="253" w:lineRule="auto"/>
              <w:rPr>
                <w:rFonts w:ascii="Arial"/>
                <w:sz w:val="21"/>
                <w:highlight w:val="none"/>
              </w:rPr>
            </w:pPr>
          </w:p>
          <w:p w14:paraId="45BE140D">
            <w:pPr>
              <w:pStyle w:val="7"/>
              <w:spacing w:before="71" w:line="222" w:lineRule="auto"/>
              <w:ind w:left="130"/>
              <w:rPr>
                <w:sz w:val="22"/>
                <w:szCs w:val="22"/>
                <w:highlight w:val="none"/>
              </w:rPr>
            </w:pPr>
            <w:r>
              <w:rPr>
                <w:spacing w:val="-2"/>
                <w:sz w:val="22"/>
                <w:szCs w:val="22"/>
                <w:highlight w:val="none"/>
              </w:rPr>
              <w:t>6+12+6</w:t>
            </w:r>
            <w:r>
              <w:rPr>
                <w:spacing w:val="-47"/>
                <w:sz w:val="22"/>
                <w:szCs w:val="22"/>
                <w:highlight w:val="none"/>
              </w:rPr>
              <w:t xml:space="preserve"> </w:t>
            </w:r>
            <w:r>
              <w:rPr>
                <w:spacing w:val="-2"/>
                <w:sz w:val="22"/>
                <w:szCs w:val="22"/>
                <w:highlight w:val="none"/>
              </w:rPr>
              <w:t>双钢化</w:t>
            </w:r>
          </w:p>
        </w:tc>
        <w:tc>
          <w:tcPr>
            <w:tcW w:w="1785" w:type="dxa"/>
            <w:vMerge w:val="restart"/>
            <w:tcBorders>
              <w:bottom w:val="nil"/>
            </w:tcBorders>
            <w:vAlign w:val="top"/>
          </w:tcPr>
          <w:p w14:paraId="0080C660">
            <w:pPr>
              <w:spacing w:line="264" w:lineRule="auto"/>
              <w:rPr>
                <w:rFonts w:ascii="Arial"/>
                <w:sz w:val="21"/>
                <w:highlight w:val="none"/>
              </w:rPr>
            </w:pPr>
          </w:p>
          <w:p w14:paraId="2BE1EC82">
            <w:pPr>
              <w:spacing w:line="264" w:lineRule="auto"/>
              <w:rPr>
                <w:rFonts w:ascii="Arial"/>
                <w:sz w:val="21"/>
                <w:highlight w:val="none"/>
              </w:rPr>
            </w:pPr>
          </w:p>
          <w:p w14:paraId="6B1E4B5A">
            <w:pPr>
              <w:spacing w:line="265" w:lineRule="auto"/>
              <w:rPr>
                <w:rFonts w:ascii="Arial"/>
                <w:sz w:val="21"/>
                <w:highlight w:val="none"/>
              </w:rPr>
            </w:pPr>
          </w:p>
          <w:p w14:paraId="5D67C1A1">
            <w:pPr>
              <w:pStyle w:val="7"/>
              <w:spacing w:before="72" w:line="220" w:lineRule="auto"/>
              <w:ind w:left="113"/>
              <w:rPr>
                <w:sz w:val="22"/>
                <w:szCs w:val="22"/>
                <w:highlight w:val="none"/>
              </w:rPr>
            </w:pPr>
            <w:r>
              <w:rPr>
                <w:spacing w:val="-3"/>
                <w:sz w:val="22"/>
                <w:szCs w:val="22"/>
                <w:highlight w:val="none"/>
              </w:rPr>
              <w:t>85</w:t>
            </w:r>
            <w:r>
              <w:rPr>
                <w:spacing w:val="-63"/>
                <w:sz w:val="22"/>
                <w:szCs w:val="22"/>
                <w:highlight w:val="none"/>
              </w:rPr>
              <w:t xml:space="preserve"> </w:t>
            </w:r>
            <w:r>
              <w:rPr>
                <w:spacing w:val="-3"/>
                <w:sz w:val="22"/>
                <w:szCs w:val="22"/>
                <w:highlight w:val="none"/>
              </w:rPr>
              <w:t>系列断桥灰色</w:t>
            </w:r>
          </w:p>
        </w:tc>
        <w:tc>
          <w:tcPr>
            <w:tcW w:w="1471" w:type="dxa"/>
            <w:vAlign w:val="top"/>
          </w:tcPr>
          <w:p w14:paraId="11EC6CD5">
            <w:pPr>
              <w:pStyle w:val="7"/>
              <w:spacing w:before="58" w:line="221" w:lineRule="auto"/>
              <w:ind w:left="116"/>
              <w:rPr>
                <w:sz w:val="22"/>
                <w:szCs w:val="22"/>
                <w:highlight w:val="none"/>
              </w:rPr>
            </w:pPr>
            <w:r>
              <w:rPr>
                <w:spacing w:val="-3"/>
                <w:sz w:val="22"/>
                <w:szCs w:val="22"/>
                <w:highlight w:val="none"/>
              </w:rPr>
              <w:t>直接安装</w:t>
            </w:r>
          </w:p>
        </w:tc>
        <w:tc>
          <w:tcPr>
            <w:tcW w:w="1268" w:type="dxa"/>
            <w:vAlign w:val="top"/>
          </w:tcPr>
          <w:p w14:paraId="2FFD37FE">
            <w:pPr>
              <w:pStyle w:val="7"/>
              <w:spacing w:before="58" w:line="221" w:lineRule="auto"/>
              <w:ind w:left="179"/>
              <w:rPr>
                <w:sz w:val="22"/>
                <w:szCs w:val="22"/>
                <w:highlight w:val="none"/>
              </w:rPr>
            </w:pPr>
            <w:r>
              <w:rPr>
                <w:spacing w:val="-4"/>
                <w:sz w:val="22"/>
                <w:szCs w:val="22"/>
                <w:highlight w:val="none"/>
              </w:rPr>
              <w:t>560</w:t>
            </w:r>
            <w:r>
              <w:rPr>
                <w:spacing w:val="-45"/>
                <w:sz w:val="22"/>
                <w:szCs w:val="22"/>
                <w:highlight w:val="none"/>
              </w:rPr>
              <w:t xml:space="preserve"> </w:t>
            </w:r>
            <w:r>
              <w:rPr>
                <w:spacing w:val="-4"/>
                <w:sz w:val="22"/>
                <w:szCs w:val="22"/>
                <w:highlight w:val="none"/>
              </w:rPr>
              <w:t>元/㎡</w:t>
            </w:r>
          </w:p>
        </w:tc>
        <w:tc>
          <w:tcPr>
            <w:tcW w:w="600" w:type="dxa"/>
            <w:vAlign w:val="top"/>
          </w:tcPr>
          <w:p w14:paraId="1CFBC978">
            <w:pPr>
              <w:rPr>
                <w:rFonts w:ascii="Arial"/>
                <w:sz w:val="21"/>
                <w:highlight w:val="none"/>
              </w:rPr>
            </w:pPr>
          </w:p>
        </w:tc>
      </w:tr>
      <w:tr w14:paraId="2BD4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2FF3FC59">
            <w:pPr>
              <w:rPr>
                <w:rFonts w:ascii="Arial"/>
                <w:sz w:val="21"/>
                <w:highlight w:val="none"/>
              </w:rPr>
            </w:pPr>
          </w:p>
        </w:tc>
        <w:tc>
          <w:tcPr>
            <w:tcW w:w="682" w:type="dxa"/>
            <w:vMerge w:val="continue"/>
            <w:vAlign w:val="top"/>
          </w:tcPr>
          <w:p w14:paraId="19938EAE">
            <w:pPr>
              <w:rPr>
                <w:rFonts w:ascii="Arial"/>
                <w:sz w:val="21"/>
                <w:highlight w:val="none"/>
              </w:rPr>
            </w:pPr>
          </w:p>
        </w:tc>
        <w:tc>
          <w:tcPr>
            <w:tcW w:w="1649" w:type="dxa"/>
            <w:vMerge w:val="continue"/>
            <w:vAlign w:val="top"/>
          </w:tcPr>
          <w:p w14:paraId="0C91EFD9">
            <w:pPr>
              <w:rPr>
                <w:rFonts w:ascii="Arial"/>
                <w:sz w:val="21"/>
                <w:highlight w:val="none"/>
              </w:rPr>
            </w:pPr>
          </w:p>
        </w:tc>
        <w:tc>
          <w:tcPr>
            <w:tcW w:w="1622" w:type="dxa"/>
            <w:vMerge w:val="continue"/>
            <w:tcBorders>
              <w:top w:val="nil"/>
              <w:bottom w:val="nil"/>
            </w:tcBorders>
            <w:vAlign w:val="top"/>
          </w:tcPr>
          <w:p w14:paraId="161EDC5B">
            <w:pPr>
              <w:rPr>
                <w:rFonts w:ascii="Arial"/>
                <w:sz w:val="21"/>
                <w:highlight w:val="none"/>
              </w:rPr>
            </w:pPr>
          </w:p>
        </w:tc>
        <w:tc>
          <w:tcPr>
            <w:tcW w:w="1785" w:type="dxa"/>
            <w:vMerge w:val="continue"/>
            <w:tcBorders>
              <w:top w:val="nil"/>
              <w:bottom w:val="nil"/>
            </w:tcBorders>
            <w:vAlign w:val="top"/>
          </w:tcPr>
          <w:p w14:paraId="75E3757D">
            <w:pPr>
              <w:rPr>
                <w:rFonts w:ascii="Arial"/>
                <w:sz w:val="21"/>
                <w:highlight w:val="none"/>
              </w:rPr>
            </w:pPr>
          </w:p>
        </w:tc>
        <w:tc>
          <w:tcPr>
            <w:tcW w:w="1471" w:type="dxa"/>
            <w:vAlign w:val="top"/>
          </w:tcPr>
          <w:p w14:paraId="6750AA3C">
            <w:pPr>
              <w:pStyle w:val="7"/>
              <w:spacing w:before="67" w:line="229"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75F61BB3">
            <w:pPr>
              <w:pStyle w:val="7"/>
              <w:spacing w:before="208" w:line="221" w:lineRule="auto"/>
              <w:ind w:left="179"/>
              <w:rPr>
                <w:sz w:val="22"/>
                <w:szCs w:val="22"/>
                <w:highlight w:val="none"/>
              </w:rPr>
            </w:pPr>
            <w:r>
              <w:rPr>
                <w:spacing w:val="-4"/>
                <w:sz w:val="22"/>
                <w:szCs w:val="22"/>
                <w:highlight w:val="none"/>
              </w:rPr>
              <w:t>566</w:t>
            </w:r>
            <w:r>
              <w:rPr>
                <w:spacing w:val="-45"/>
                <w:sz w:val="22"/>
                <w:szCs w:val="22"/>
                <w:highlight w:val="none"/>
              </w:rPr>
              <w:t xml:space="preserve"> </w:t>
            </w:r>
            <w:r>
              <w:rPr>
                <w:spacing w:val="-4"/>
                <w:sz w:val="22"/>
                <w:szCs w:val="22"/>
                <w:highlight w:val="none"/>
              </w:rPr>
              <w:t>元/㎡</w:t>
            </w:r>
          </w:p>
        </w:tc>
        <w:tc>
          <w:tcPr>
            <w:tcW w:w="600" w:type="dxa"/>
            <w:vAlign w:val="top"/>
          </w:tcPr>
          <w:p w14:paraId="017C05DA">
            <w:pPr>
              <w:rPr>
                <w:rFonts w:ascii="Arial"/>
                <w:sz w:val="21"/>
                <w:highlight w:val="none"/>
              </w:rPr>
            </w:pPr>
          </w:p>
        </w:tc>
      </w:tr>
      <w:tr w14:paraId="1E978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46DF1967">
            <w:pPr>
              <w:rPr>
                <w:rFonts w:ascii="Arial"/>
                <w:sz w:val="21"/>
                <w:highlight w:val="none"/>
              </w:rPr>
            </w:pPr>
          </w:p>
        </w:tc>
        <w:tc>
          <w:tcPr>
            <w:tcW w:w="682" w:type="dxa"/>
            <w:vMerge w:val="continue"/>
            <w:vAlign w:val="top"/>
          </w:tcPr>
          <w:p w14:paraId="0AE74313">
            <w:pPr>
              <w:rPr>
                <w:rFonts w:ascii="Arial"/>
                <w:sz w:val="21"/>
                <w:highlight w:val="none"/>
              </w:rPr>
            </w:pPr>
          </w:p>
        </w:tc>
        <w:tc>
          <w:tcPr>
            <w:tcW w:w="1649" w:type="dxa"/>
            <w:vMerge w:val="continue"/>
            <w:vAlign w:val="top"/>
          </w:tcPr>
          <w:p w14:paraId="757A3DC0">
            <w:pPr>
              <w:rPr>
                <w:rFonts w:ascii="Arial"/>
                <w:sz w:val="21"/>
                <w:highlight w:val="none"/>
              </w:rPr>
            </w:pPr>
          </w:p>
        </w:tc>
        <w:tc>
          <w:tcPr>
            <w:tcW w:w="1622" w:type="dxa"/>
            <w:vMerge w:val="continue"/>
            <w:tcBorders>
              <w:top w:val="nil"/>
              <w:bottom w:val="nil"/>
            </w:tcBorders>
            <w:vAlign w:val="top"/>
          </w:tcPr>
          <w:p w14:paraId="4A615631">
            <w:pPr>
              <w:rPr>
                <w:rFonts w:ascii="Arial"/>
                <w:sz w:val="21"/>
                <w:highlight w:val="none"/>
              </w:rPr>
            </w:pPr>
          </w:p>
        </w:tc>
        <w:tc>
          <w:tcPr>
            <w:tcW w:w="1785" w:type="dxa"/>
            <w:vMerge w:val="continue"/>
            <w:tcBorders>
              <w:top w:val="nil"/>
              <w:bottom w:val="nil"/>
            </w:tcBorders>
            <w:vAlign w:val="top"/>
          </w:tcPr>
          <w:p w14:paraId="76910A61">
            <w:pPr>
              <w:rPr>
                <w:rFonts w:ascii="Arial"/>
                <w:sz w:val="21"/>
                <w:highlight w:val="none"/>
              </w:rPr>
            </w:pPr>
          </w:p>
        </w:tc>
        <w:tc>
          <w:tcPr>
            <w:tcW w:w="1471" w:type="dxa"/>
            <w:vAlign w:val="top"/>
          </w:tcPr>
          <w:p w14:paraId="0C3E66F9">
            <w:pPr>
              <w:pStyle w:val="7"/>
              <w:spacing w:before="209" w:line="220" w:lineRule="auto"/>
              <w:ind w:left="116"/>
              <w:rPr>
                <w:sz w:val="22"/>
                <w:szCs w:val="22"/>
                <w:highlight w:val="none"/>
              </w:rPr>
            </w:pPr>
            <w:r>
              <w:rPr>
                <w:spacing w:val="-2"/>
                <w:sz w:val="22"/>
                <w:szCs w:val="22"/>
                <w:highlight w:val="none"/>
              </w:rPr>
              <w:t>蜘蛛人辅助</w:t>
            </w:r>
          </w:p>
        </w:tc>
        <w:tc>
          <w:tcPr>
            <w:tcW w:w="1268" w:type="dxa"/>
            <w:vAlign w:val="top"/>
          </w:tcPr>
          <w:p w14:paraId="4517BBB1">
            <w:pPr>
              <w:pStyle w:val="7"/>
              <w:spacing w:before="209" w:line="221" w:lineRule="auto"/>
              <w:ind w:left="177"/>
              <w:rPr>
                <w:sz w:val="22"/>
                <w:szCs w:val="22"/>
                <w:highlight w:val="none"/>
              </w:rPr>
            </w:pPr>
            <w:r>
              <w:rPr>
                <w:spacing w:val="-4"/>
                <w:sz w:val="22"/>
                <w:szCs w:val="22"/>
                <w:highlight w:val="none"/>
              </w:rPr>
              <w:t>610</w:t>
            </w:r>
            <w:r>
              <w:rPr>
                <w:spacing w:val="-43"/>
                <w:sz w:val="22"/>
                <w:szCs w:val="22"/>
                <w:highlight w:val="none"/>
              </w:rPr>
              <w:t xml:space="preserve"> </w:t>
            </w:r>
            <w:r>
              <w:rPr>
                <w:spacing w:val="-4"/>
                <w:sz w:val="22"/>
                <w:szCs w:val="22"/>
                <w:highlight w:val="none"/>
              </w:rPr>
              <w:t>元/㎡</w:t>
            </w:r>
          </w:p>
        </w:tc>
        <w:tc>
          <w:tcPr>
            <w:tcW w:w="600" w:type="dxa"/>
            <w:vAlign w:val="top"/>
          </w:tcPr>
          <w:p w14:paraId="5C5FA6CC">
            <w:pPr>
              <w:rPr>
                <w:rFonts w:ascii="Arial"/>
                <w:sz w:val="21"/>
                <w:highlight w:val="none"/>
              </w:rPr>
            </w:pPr>
          </w:p>
        </w:tc>
      </w:tr>
      <w:tr w14:paraId="4CFF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7D7971E7">
            <w:pPr>
              <w:rPr>
                <w:rFonts w:ascii="Arial"/>
                <w:sz w:val="21"/>
                <w:highlight w:val="none"/>
              </w:rPr>
            </w:pPr>
          </w:p>
        </w:tc>
        <w:tc>
          <w:tcPr>
            <w:tcW w:w="682" w:type="dxa"/>
            <w:vMerge w:val="continue"/>
            <w:vAlign w:val="top"/>
          </w:tcPr>
          <w:p w14:paraId="61D028C1">
            <w:pPr>
              <w:rPr>
                <w:rFonts w:ascii="Arial"/>
                <w:sz w:val="21"/>
                <w:highlight w:val="none"/>
              </w:rPr>
            </w:pPr>
          </w:p>
        </w:tc>
        <w:tc>
          <w:tcPr>
            <w:tcW w:w="1649" w:type="dxa"/>
            <w:vMerge w:val="continue"/>
            <w:vAlign w:val="top"/>
          </w:tcPr>
          <w:p w14:paraId="41621B35">
            <w:pPr>
              <w:rPr>
                <w:rFonts w:ascii="Arial"/>
                <w:sz w:val="21"/>
                <w:highlight w:val="none"/>
              </w:rPr>
            </w:pPr>
          </w:p>
        </w:tc>
        <w:tc>
          <w:tcPr>
            <w:tcW w:w="1622" w:type="dxa"/>
            <w:vMerge w:val="continue"/>
            <w:tcBorders>
              <w:top w:val="nil"/>
              <w:bottom w:val="nil"/>
            </w:tcBorders>
            <w:vAlign w:val="top"/>
          </w:tcPr>
          <w:p w14:paraId="129B17B7">
            <w:pPr>
              <w:rPr>
                <w:rFonts w:ascii="Arial"/>
                <w:sz w:val="21"/>
                <w:highlight w:val="none"/>
              </w:rPr>
            </w:pPr>
          </w:p>
        </w:tc>
        <w:tc>
          <w:tcPr>
            <w:tcW w:w="1785" w:type="dxa"/>
            <w:vMerge w:val="continue"/>
            <w:tcBorders>
              <w:top w:val="nil"/>
            </w:tcBorders>
            <w:vAlign w:val="top"/>
          </w:tcPr>
          <w:p w14:paraId="362F277A">
            <w:pPr>
              <w:rPr>
                <w:rFonts w:ascii="Arial"/>
                <w:sz w:val="21"/>
                <w:highlight w:val="none"/>
              </w:rPr>
            </w:pPr>
          </w:p>
        </w:tc>
        <w:tc>
          <w:tcPr>
            <w:tcW w:w="1471" w:type="dxa"/>
            <w:vAlign w:val="top"/>
          </w:tcPr>
          <w:p w14:paraId="4484B969">
            <w:pPr>
              <w:pStyle w:val="7"/>
              <w:spacing w:before="58" w:line="221" w:lineRule="auto"/>
              <w:ind w:left="141"/>
              <w:rPr>
                <w:sz w:val="22"/>
                <w:szCs w:val="22"/>
                <w:highlight w:val="none"/>
              </w:rPr>
            </w:pPr>
            <w:r>
              <w:rPr>
                <w:spacing w:val="-9"/>
                <w:sz w:val="22"/>
                <w:szCs w:val="22"/>
                <w:highlight w:val="none"/>
              </w:rPr>
              <w:t>吊篮辅助</w:t>
            </w:r>
          </w:p>
        </w:tc>
        <w:tc>
          <w:tcPr>
            <w:tcW w:w="1268" w:type="dxa"/>
            <w:vAlign w:val="top"/>
          </w:tcPr>
          <w:p w14:paraId="0F9C4850">
            <w:pPr>
              <w:pStyle w:val="7"/>
              <w:spacing w:before="58" w:line="221" w:lineRule="auto"/>
              <w:ind w:left="179"/>
              <w:rPr>
                <w:sz w:val="22"/>
                <w:szCs w:val="22"/>
                <w:highlight w:val="none"/>
              </w:rPr>
            </w:pPr>
            <w:r>
              <w:rPr>
                <w:spacing w:val="-4"/>
                <w:sz w:val="22"/>
                <w:szCs w:val="22"/>
                <w:highlight w:val="none"/>
              </w:rPr>
              <w:t>570</w:t>
            </w:r>
            <w:r>
              <w:rPr>
                <w:spacing w:val="-45"/>
                <w:sz w:val="22"/>
                <w:szCs w:val="22"/>
                <w:highlight w:val="none"/>
              </w:rPr>
              <w:t xml:space="preserve"> </w:t>
            </w:r>
            <w:r>
              <w:rPr>
                <w:spacing w:val="-4"/>
                <w:sz w:val="22"/>
                <w:szCs w:val="22"/>
                <w:highlight w:val="none"/>
              </w:rPr>
              <w:t>元/㎡</w:t>
            </w:r>
          </w:p>
        </w:tc>
        <w:tc>
          <w:tcPr>
            <w:tcW w:w="600" w:type="dxa"/>
            <w:vAlign w:val="top"/>
          </w:tcPr>
          <w:p w14:paraId="605497AA">
            <w:pPr>
              <w:rPr>
                <w:rFonts w:ascii="Arial"/>
                <w:sz w:val="21"/>
                <w:highlight w:val="none"/>
              </w:rPr>
            </w:pPr>
          </w:p>
        </w:tc>
      </w:tr>
      <w:tr w14:paraId="53CA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167004BF">
            <w:pPr>
              <w:rPr>
                <w:rFonts w:ascii="Arial"/>
                <w:sz w:val="21"/>
                <w:highlight w:val="none"/>
              </w:rPr>
            </w:pPr>
          </w:p>
        </w:tc>
        <w:tc>
          <w:tcPr>
            <w:tcW w:w="682" w:type="dxa"/>
            <w:vMerge w:val="continue"/>
            <w:vAlign w:val="top"/>
          </w:tcPr>
          <w:p w14:paraId="72B9F007">
            <w:pPr>
              <w:rPr>
                <w:rFonts w:ascii="Arial"/>
                <w:sz w:val="21"/>
                <w:highlight w:val="none"/>
              </w:rPr>
            </w:pPr>
          </w:p>
        </w:tc>
        <w:tc>
          <w:tcPr>
            <w:tcW w:w="1649" w:type="dxa"/>
            <w:vMerge w:val="continue"/>
            <w:vAlign w:val="top"/>
          </w:tcPr>
          <w:p w14:paraId="2AD4BF8B">
            <w:pPr>
              <w:rPr>
                <w:rFonts w:ascii="Arial"/>
                <w:sz w:val="21"/>
                <w:highlight w:val="none"/>
              </w:rPr>
            </w:pPr>
          </w:p>
        </w:tc>
        <w:tc>
          <w:tcPr>
            <w:tcW w:w="1622" w:type="dxa"/>
            <w:vMerge w:val="continue"/>
            <w:tcBorders>
              <w:top w:val="nil"/>
              <w:bottom w:val="nil"/>
            </w:tcBorders>
            <w:vAlign w:val="top"/>
          </w:tcPr>
          <w:p w14:paraId="6D7E06CA">
            <w:pPr>
              <w:rPr>
                <w:rFonts w:ascii="Arial"/>
                <w:sz w:val="21"/>
                <w:highlight w:val="none"/>
              </w:rPr>
            </w:pPr>
          </w:p>
        </w:tc>
        <w:tc>
          <w:tcPr>
            <w:tcW w:w="1785" w:type="dxa"/>
            <w:vMerge w:val="restart"/>
            <w:tcBorders>
              <w:bottom w:val="nil"/>
            </w:tcBorders>
            <w:vAlign w:val="top"/>
          </w:tcPr>
          <w:p w14:paraId="6E81033D">
            <w:pPr>
              <w:spacing w:line="264" w:lineRule="auto"/>
              <w:rPr>
                <w:rFonts w:ascii="Arial"/>
                <w:sz w:val="21"/>
                <w:highlight w:val="none"/>
              </w:rPr>
            </w:pPr>
          </w:p>
          <w:p w14:paraId="2D89EF8A">
            <w:pPr>
              <w:spacing w:line="264" w:lineRule="auto"/>
              <w:rPr>
                <w:rFonts w:ascii="Arial"/>
                <w:sz w:val="21"/>
                <w:highlight w:val="none"/>
              </w:rPr>
            </w:pPr>
          </w:p>
          <w:p w14:paraId="5F5C2E02">
            <w:pPr>
              <w:spacing w:line="264" w:lineRule="auto"/>
              <w:rPr>
                <w:rFonts w:ascii="Arial"/>
                <w:sz w:val="21"/>
                <w:highlight w:val="none"/>
              </w:rPr>
            </w:pPr>
          </w:p>
          <w:p w14:paraId="6882E836">
            <w:pPr>
              <w:pStyle w:val="7"/>
              <w:spacing w:before="72" w:line="219" w:lineRule="auto"/>
              <w:ind w:left="245"/>
              <w:rPr>
                <w:sz w:val="22"/>
                <w:szCs w:val="22"/>
                <w:highlight w:val="none"/>
              </w:rPr>
            </w:pPr>
            <w:r>
              <w:rPr>
                <w:spacing w:val="-3"/>
                <w:sz w:val="22"/>
                <w:szCs w:val="22"/>
                <w:highlight w:val="none"/>
              </w:rPr>
              <w:t>（不含型材）</w:t>
            </w:r>
          </w:p>
        </w:tc>
        <w:tc>
          <w:tcPr>
            <w:tcW w:w="1471" w:type="dxa"/>
            <w:vAlign w:val="top"/>
          </w:tcPr>
          <w:p w14:paraId="56C1730D">
            <w:pPr>
              <w:pStyle w:val="7"/>
              <w:spacing w:before="59" w:line="221" w:lineRule="auto"/>
              <w:ind w:left="116"/>
              <w:rPr>
                <w:sz w:val="22"/>
                <w:szCs w:val="22"/>
                <w:highlight w:val="none"/>
              </w:rPr>
            </w:pPr>
            <w:r>
              <w:rPr>
                <w:spacing w:val="-3"/>
                <w:sz w:val="22"/>
                <w:szCs w:val="22"/>
                <w:highlight w:val="none"/>
              </w:rPr>
              <w:t>直接安装</w:t>
            </w:r>
          </w:p>
        </w:tc>
        <w:tc>
          <w:tcPr>
            <w:tcW w:w="1268" w:type="dxa"/>
            <w:vAlign w:val="top"/>
          </w:tcPr>
          <w:p w14:paraId="00D3CDDB">
            <w:pPr>
              <w:pStyle w:val="7"/>
              <w:spacing w:before="59" w:line="221" w:lineRule="auto"/>
              <w:ind w:left="178"/>
              <w:rPr>
                <w:sz w:val="22"/>
                <w:szCs w:val="22"/>
                <w:highlight w:val="none"/>
              </w:rPr>
            </w:pPr>
            <w:r>
              <w:rPr>
                <w:spacing w:val="-4"/>
                <w:sz w:val="22"/>
                <w:szCs w:val="22"/>
                <w:highlight w:val="none"/>
              </w:rPr>
              <w:t>240</w:t>
            </w:r>
            <w:r>
              <w:rPr>
                <w:spacing w:val="-43"/>
                <w:sz w:val="22"/>
                <w:szCs w:val="22"/>
                <w:highlight w:val="none"/>
              </w:rPr>
              <w:t xml:space="preserve"> </w:t>
            </w:r>
            <w:r>
              <w:rPr>
                <w:spacing w:val="-4"/>
                <w:sz w:val="22"/>
                <w:szCs w:val="22"/>
                <w:highlight w:val="none"/>
              </w:rPr>
              <w:t>元/㎡</w:t>
            </w:r>
          </w:p>
        </w:tc>
        <w:tc>
          <w:tcPr>
            <w:tcW w:w="600" w:type="dxa"/>
            <w:vAlign w:val="top"/>
          </w:tcPr>
          <w:p w14:paraId="392D3D8B">
            <w:pPr>
              <w:rPr>
                <w:rFonts w:ascii="Arial"/>
                <w:sz w:val="21"/>
                <w:highlight w:val="none"/>
              </w:rPr>
            </w:pPr>
          </w:p>
        </w:tc>
      </w:tr>
      <w:tr w14:paraId="537F7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0B835799">
            <w:pPr>
              <w:rPr>
                <w:rFonts w:ascii="Arial"/>
                <w:sz w:val="21"/>
                <w:highlight w:val="none"/>
              </w:rPr>
            </w:pPr>
          </w:p>
        </w:tc>
        <w:tc>
          <w:tcPr>
            <w:tcW w:w="682" w:type="dxa"/>
            <w:vMerge w:val="continue"/>
            <w:vAlign w:val="top"/>
          </w:tcPr>
          <w:p w14:paraId="740458A2">
            <w:pPr>
              <w:rPr>
                <w:rFonts w:ascii="Arial"/>
                <w:sz w:val="21"/>
                <w:highlight w:val="none"/>
              </w:rPr>
            </w:pPr>
          </w:p>
        </w:tc>
        <w:tc>
          <w:tcPr>
            <w:tcW w:w="1649" w:type="dxa"/>
            <w:vMerge w:val="continue"/>
            <w:vAlign w:val="top"/>
          </w:tcPr>
          <w:p w14:paraId="723639AA">
            <w:pPr>
              <w:rPr>
                <w:rFonts w:ascii="Arial"/>
                <w:sz w:val="21"/>
                <w:highlight w:val="none"/>
              </w:rPr>
            </w:pPr>
          </w:p>
        </w:tc>
        <w:tc>
          <w:tcPr>
            <w:tcW w:w="1622" w:type="dxa"/>
            <w:vMerge w:val="continue"/>
            <w:tcBorders>
              <w:top w:val="nil"/>
              <w:bottom w:val="nil"/>
            </w:tcBorders>
            <w:vAlign w:val="top"/>
          </w:tcPr>
          <w:p w14:paraId="5745A122">
            <w:pPr>
              <w:rPr>
                <w:rFonts w:ascii="Arial"/>
                <w:sz w:val="21"/>
                <w:highlight w:val="none"/>
              </w:rPr>
            </w:pPr>
          </w:p>
        </w:tc>
        <w:tc>
          <w:tcPr>
            <w:tcW w:w="1785" w:type="dxa"/>
            <w:vMerge w:val="continue"/>
            <w:tcBorders>
              <w:top w:val="nil"/>
              <w:bottom w:val="nil"/>
            </w:tcBorders>
            <w:vAlign w:val="top"/>
          </w:tcPr>
          <w:p w14:paraId="3C8A148F">
            <w:pPr>
              <w:rPr>
                <w:rFonts w:ascii="Arial"/>
                <w:sz w:val="21"/>
                <w:highlight w:val="none"/>
              </w:rPr>
            </w:pPr>
          </w:p>
        </w:tc>
        <w:tc>
          <w:tcPr>
            <w:tcW w:w="1471" w:type="dxa"/>
            <w:vAlign w:val="top"/>
          </w:tcPr>
          <w:p w14:paraId="556C5727">
            <w:pPr>
              <w:pStyle w:val="7"/>
              <w:spacing w:before="66"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1A4836D8">
            <w:pPr>
              <w:pStyle w:val="7"/>
              <w:spacing w:before="209" w:line="221" w:lineRule="auto"/>
              <w:ind w:left="178"/>
              <w:rPr>
                <w:sz w:val="22"/>
                <w:szCs w:val="22"/>
                <w:highlight w:val="none"/>
              </w:rPr>
            </w:pPr>
            <w:r>
              <w:rPr>
                <w:spacing w:val="-4"/>
                <w:sz w:val="22"/>
                <w:szCs w:val="22"/>
                <w:highlight w:val="none"/>
              </w:rPr>
              <w:t>246</w:t>
            </w:r>
            <w:r>
              <w:rPr>
                <w:spacing w:val="-43"/>
                <w:sz w:val="22"/>
                <w:szCs w:val="22"/>
                <w:highlight w:val="none"/>
              </w:rPr>
              <w:t xml:space="preserve"> </w:t>
            </w:r>
            <w:r>
              <w:rPr>
                <w:spacing w:val="-4"/>
                <w:sz w:val="22"/>
                <w:szCs w:val="22"/>
                <w:highlight w:val="none"/>
              </w:rPr>
              <w:t>元/㎡</w:t>
            </w:r>
          </w:p>
        </w:tc>
        <w:tc>
          <w:tcPr>
            <w:tcW w:w="600" w:type="dxa"/>
            <w:vAlign w:val="top"/>
          </w:tcPr>
          <w:p w14:paraId="67DF856A">
            <w:pPr>
              <w:rPr>
                <w:rFonts w:ascii="Arial"/>
                <w:sz w:val="21"/>
                <w:highlight w:val="none"/>
              </w:rPr>
            </w:pPr>
          </w:p>
        </w:tc>
      </w:tr>
      <w:tr w14:paraId="17A1A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6B2FBC59">
            <w:pPr>
              <w:rPr>
                <w:rFonts w:ascii="Arial"/>
                <w:sz w:val="21"/>
                <w:highlight w:val="none"/>
              </w:rPr>
            </w:pPr>
          </w:p>
        </w:tc>
        <w:tc>
          <w:tcPr>
            <w:tcW w:w="682" w:type="dxa"/>
            <w:vMerge w:val="continue"/>
            <w:vAlign w:val="top"/>
          </w:tcPr>
          <w:p w14:paraId="52683A24">
            <w:pPr>
              <w:rPr>
                <w:rFonts w:ascii="Arial"/>
                <w:sz w:val="21"/>
                <w:highlight w:val="none"/>
              </w:rPr>
            </w:pPr>
          </w:p>
        </w:tc>
        <w:tc>
          <w:tcPr>
            <w:tcW w:w="1649" w:type="dxa"/>
            <w:vMerge w:val="continue"/>
            <w:vAlign w:val="top"/>
          </w:tcPr>
          <w:p w14:paraId="7532B137">
            <w:pPr>
              <w:rPr>
                <w:rFonts w:ascii="Arial"/>
                <w:sz w:val="21"/>
                <w:highlight w:val="none"/>
              </w:rPr>
            </w:pPr>
          </w:p>
        </w:tc>
        <w:tc>
          <w:tcPr>
            <w:tcW w:w="1622" w:type="dxa"/>
            <w:vMerge w:val="continue"/>
            <w:tcBorders>
              <w:top w:val="nil"/>
              <w:bottom w:val="nil"/>
            </w:tcBorders>
            <w:vAlign w:val="top"/>
          </w:tcPr>
          <w:p w14:paraId="039B0074">
            <w:pPr>
              <w:rPr>
                <w:rFonts w:ascii="Arial"/>
                <w:sz w:val="21"/>
                <w:highlight w:val="none"/>
              </w:rPr>
            </w:pPr>
          </w:p>
        </w:tc>
        <w:tc>
          <w:tcPr>
            <w:tcW w:w="1785" w:type="dxa"/>
            <w:vMerge w:val="continue"/>
            <w:tcBorders>
              <w:top w:val="nil"/>
              <w:bottom w:val="nil"/>
            </w:tcBorders>
            <w:vAlign w:val="top"/>
          </w:tcPr>
          <w:p w14:paraId="3B141A75">
            <w:pPr>
              <w:rPr>
                <w:rFonts w:ascii="Arial"/>
                <w:sz w:val="21"/>
                <w:highlight w:val="none"/>
              </w:rPr>
            </w:pPr>
          </w:p>
        </w:tc>
        <w:tc>
          <w:tcPr>
            <w:tcW w:w="1471" w:type="dxa"/>
            <w:vAlign w:val="top"/>
          </w:tcPr>
          <w:p w14:paraId="46C55F36">
            <w:pPr>
              <w:pStyle w:val="7"/>
              <w:spacing w:before="210" w:line="220" w:lineRule="auto"/>
              <w:ind w:left="116"/>
              <w:rPr>
                <w:sz w:val="22"/>
                <w:szCs w:val="22"/>
                <w:highlight w:val="none"/>
              </w:rPr>
            </w:pPr>
            <w:r>
              <w:rPr>
                <w:spacing w:val="-2"/>
                <w:sz w:val="22"/>
                <w:szCs w:val="22"/>
                <w:highlight w:val="none"/>
              </w:rPr>
              <w:t>蜘蛛人辅助</w:t>
            </w:r>
          </w:p>
        </w:tc>
        <w:tc>
          <w:tcPr>
            <w:tcW w:w="1268" w:type="dxa"/>
            <w:vAlign w:val="top"/>
          </w:tcPr>
          <w:p w14:paraId="37E6C59B">
            <w:pPr>
              <w:pStyle w:val="7"/>
              <w:spacing w:before="210" w:line="221" w:lineRule="auto"/>
              <w:ind w:left="178"/>
              <w:rPr>
                <w:sz w:val="22"/>
                <w:szCs w:val="22"/>
                <w:highlight w:val="none"/>
              </w:rPr>
            </w:pPr>
            <w:r>
              <w:rPr>
                <w:spacing w:val="-4"/>
                <w:sz w:val="22"/>
                <w:szCs w:val="22"/>
                <w:highlight w:val="none"/>
              </w:rPr>
              <w:t>290</w:t>
            </w:r>
            <w:r>
              <w:rPr>
                <w:spacing w:val="-43"/>
                <w:sz w:val="22"/>
                <w:szCs w:val="22"/>
                <w:highlight w:val="none"/>
              </w:rPr>
              <w:t xml:space="preserve"> </w:t>
            </w:r>
            <w:r>
              <w:rPr>
                <w:spacing w:val="-4"/>
                <w:sz w:val="22"/>
                <w:szCs w:val="22"/>
                <w:highlight w:val="none"/>
              </w:rPr>
              <w:t>元/㎡</w:t>
            </w:r>
          </w:p>
        </w:tc>
        <w:tc>
          <w:tcPr>
            <w:tcW w:w="600" w:type="dxa"/>
            <w:vAlign w:val="top"/>
          </w:tcPr>
          <w:p w14:paraId="22716064">
            <w:pPr>
              <w:rPr>
                <w:rFonts w:ascii="Arial"/>
                <w:sz w:val="21"/>
                <w:highlight w:val="none"/>
              </w:rPr>
            </w:pPr>
          </w:p>
        </w:tc>
      </w:tr>
      <w:tr w14:paraId="33EA2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470B05BE">
            <w:pPr>
              <w:rPr>
                <w:rFonts w:ascii="Arial"/>
                <w:sz w:val="21"/>
                <w:highlight w:val="none"/>
              </w:rPr>
            </w:pPr>
          </w:p>
        </w:tc>
        <w:tc>
          <w:tcPr>
            <w:tcW w:w="682" w:type="dxa"/>
            <w:vMerge w:val="continue"/>
            <w:vAlign w:val="top"/>
          </w:tcPr>
          <w:p w14:paraId="13A79650">
            <w:pPr>
              <w:rPr>
                <w:rFonts w:ascii="Arial"/>
                <w:sz w:val="21"/>
                <w:highlight w:val="none"/>
              </w:rPr>
            </w:pPr>
          </w:p>
        </w:tc>
        <w:tc>
          <w:tcPr>
            <w:tcW w:w="1649" w:type="dxa"/>
            <w:vMerge w:val="continue"/>
            <w:vAlign w:val="top"/>
          </w:tcPr>
          <w:p w14:paraId="63DE8C99">
            <w:pPr>
              <w:rPr>
                <w:rFonts w:ascii="Arial"/>
                <w:sz w:val="21"/>
                <w:highlight w:val="none"/>
              </w:rPr>
            </w:pPr>
          </w:p>
        </w:tc>
        <w:tc>
          <w:tcPr>
            <w:tcW w:w="1622" w:type="dxa"/>
            <w:vMerge w:val="continue"/>
            <w:tcBorders>
              <w:top w:val="nil"/>
            </w:tcBorders>
            <w:vAlign w:val="top"/>
          </w:tcPr>
          <w:p w14:paraId="1A09A837">
            <w:pPr>
              <w:rPr>
                <w:rFonts w:ascii="Arial"/>
                <w:sz w:val="21"/>
                <w:highlight w:val="none"/>
              </w:rPr>
            </w:pPr>
          </w:p>
        </w:tc>
        <w:tc>
          <w:tcPr>
            <w:tcW w:w="1785" w:type="dxa"/>
            <w:vMerge w:val="continue"/>
            <w:tcBorders>
              <w:top w:val="nil"/>
            </w:tcBorders>
            <w:vAlign w:val="top"/>
          </w:tcPr>
          <w:p w14:paraId="65A8825F">
            <w:pPr>
              <w:rPr>
                <w:rFonts w:ascii="Arial"/>
                <w:sz w:val="21"/>
                <w:highlight w:val="none"/>
              </w:rPr>
            </w:pPr>
          </w:p>
        </w:tc>
        <w:tc>
          <w:tcPr>
            <w:tcW w:w="1471" w:type="dxa"/>
            <w:vAlign w:val="top"/>
          </w:tcPr>
          <w:p w14:paraId="3788D9D4">
            <w:pPr>
              <w:pStyle w:val="7"/>
              <w:spacing w:before="59" w:line="221" w:lineRule="auto"/>
              <w:ind w:left="141"/>
              <w:rPr>
                <w:sz w:val="22"/>
                <w:szCs w:val="22"/>
                <w:highlight w:val="none"/>
              </w:rPr>
            </w:pPr>
            <w:r>
              <w:rPr>
                <w:spacing w:val="-9"/>
                <w:sz w:val="22"/>
                <w:szCs w:val="22"/>
                <w:highlight w:val="none"/>
              </w:rPr>
              <w:t>吊篮辅助</w:t>
            </w:r>
          </w:p>
        </w:tc>
        <w:tc>
          <w:tcPr>
            <w:tcW w:w="1268" w:type="dxa"/>
            <w:vAlign w:val="top"/>
          </w:tcPr>
          <w:p w14:paraId="3EC25817">
            <w:pPr>
              <w:pStyle w:val="7"/>
              <w:spacing w:before="59" w:line="221" w:lineRule="auto"/>
              <w:ind w:left="178"/>
              <w:rPr>
                <w:sz w:val="22"/>
                <w:szCs w:val="22"/>
                <w:highlight w:val="none"/>
              </w:rPr>
            </w:pPr>
            <w:r>
              <w:rPr>
                <w:spacing w:val="-4"/>
                <w:sz w:val="22"/>
                <w:szCs w:val="22"/>
                <w:highlight w:val="none"/>
              </w:rPr>
              <w:t>250</w:t>
            </w:r>
            <w:r>
              <w:rPr>
                <w:spacing w:val="-43"/>
                <w:sz w:val="22"/>
                <w:szCs w:val="22"/>
                <w:highlight w:val="none"/>
              </w:rPr>
              <w:t xml:space="preserve"> </w:t>
            </w:r>
            <w:r>
              <w:rPr>
                <w:spacing w:val="-4"/>
                <w:sz w:val="22"/>
                <w:szCs w:val="22"/>
                <w:highlight w:val="none"/>
              </w:rPr>
              <w:t>元/㎡</w:t>
            </w:r>
          </w:p>
        </w:tc>
        <w:tc>
          <w:tcPr>
            <w:tcW w:w="600" w:type="dxa"/>
            <w:vAlign w:val="top"/>
          </w:tcPr>
          <w:p w14:paraId="62FC4006">
            <w:pPr>
              <w:rPr>
                <w:rFonts w:ascii="Arial"/>
                <w:sz w:val="21"/>
                <w:highlight w:val="none"/>
              </w:rPr>
            </w:pPr>
          </w:p>
        </w:tc>
      </w:tr>
      <w:tr w14:paraId="7973C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2F8F98B4">
            <w:pPr>
              <w:rPr>
                <w:rFonts w:ascii="Arial"/>
                <w:sz w:val="21"/>
                <w:highlight w:val="none"/>
              </w:rPr>
            </w:pPr>
          </w:p>
        </w:tc>
        <w:tc>
          <w:tcPr>
            <w:tcW w:w="682" w:type="dxa"/>
            <w:vMerge w:val="continue"/>
            <w:vAlign w:val="top"/>
          </w:tcPr>
          <w:p w14:paraId="652A9198">
            <w:pPr>
              <w:rPr>
                <w:rFonts w:ascii="Arial"/>
                <w:sz w:val="21"/>
                <w:highlight w:val="none"/>
              </w:rPr>
            </w:pPr>
          </w:p>
        </w:tc>
        <w:tc>
          <w:tcPr>
            <w:tcW w:w="1649" w:type="dxa"/>
            <w:vMerge w:val="continue"/>
            <w:vAlign w:val="top"/>
          </w:tcPr>
          <w:p w14:paraId="230FFE71">
            <w:pPr>
              <w:rPr>
                <w:rFonts w:ascii="Arial"/>
                <w:sz w:val="21"/>
                <w:highlight w:val="none"/>
              </w:rPr>
            </w:pPr>
          </w:p>
        </w:tc>
        <w:tc>
          <w:tcPr>
            <w:tcW w:w="1622" w:type="dxa"/>
            <w:vMerge w:val="restart"/>
            <w:vAlign w:val="top"/>
          </w:tcPr>
          <w:p w14:paraId="0D46073E">
            <w:pPr>
              <w:spacing w:line="284" w:lineRule="auto"/>
              <w:rPr>
                <w:rFonts w:ascii="Arial"/>
                <w:sz w:val="21"/>
                <w:highlight w:val="none"/>
              </w:rPr>
            </w:pPr>
          </w:p>
          <w:p w14:paraId="24F2284A">
            <w:pPr>
              <w:spacing w:line="284" w:lineRule="auto"/>
              <w:rPr>
                <w:rFonts w:ascii="Arial"/>
                <w:sz w:val="21"/>
                <w:highlight w:val="none"/>
              </w:rPr>
            </w:pPr>
          </w:p>
          <w:p w14:paraId="1B61DE6E">
            <w:pPr>
              <w:spacing w:line="284" w:lineRule="auto"/>
              <w:rPr>
                <w:rFonts w:ascii="Arial"/>
                <w:sz w:val="21"/>
                <w:highlight w:val="none"/>
              </w:rPr>
            </w:pPr>
          </w:p>
          <w:p w14:paraId="479E3AB3">
            <w:pPr>
              <w:spacing w:line="285" w:lineRule="auto"/>
              <w:rPr>
                <w:rFonts w:ascii="Arial"/>
                <w:sz w:val="21"/>
                <w:highlight w:val="none"/>
              </w:rPr>
            </w:pPr>
          </w:p>
          <w:p w14:paraId="718DBAC5">
            <w:pPr>
              <w:pStyle w:val="7"/>
              <w:spacing w:before="71" w:line="230" w:lineRule="auto"/>
              <w:ind w:left="264" w:right="150" w:hanging="108"/>
              <w:rPr>
                <w:sz w:val="22"/>
                <w:szCs w:val="22"/>
                <w:highlight w:val="none"/>
              </w:rPr>
            </w:pPr>
            <w:r>
              <w:rPr>
                <w:spacing w:val="-1"/>
                <w:sz w:val="22"/>
                <w:szCs w:val="22"/>
                <w:highlight w:val="none"/>
              </w:rPr>
              <w:t>6low-e+12A+6</w:t>
            </w:r>
            <w:r>
              <w:rPr>
                <w:sz w:val="22"/>
                <w:szCs w:val="22"/>
                <w:highlight w:val="none"/>
              </w:rPr>
              <w:t xml:space="preserve"> </w:t>
            </w:r>
            <w:r>
              <w:rPr>
                <w:spacing w:val="-2"/>
                <w:sz w:val="22"/>
                <w:szCs w:val="22"/>
                <w:highlight w:val="none"/>
              </w:rPr>
              <w:t>双钢化玻璃</w:t>
            </w:r>
          </w:p>
        </w:tc>
        <w:tc>
          <w:tcPr>
            <w:tcW w:w="1785" w:type="dxa"/>
            <w:vMerge w:val="restart"/>
            <w:tcBorders>
              <w:bottom w:val="nil"/>
            </w:tcBorders>
            <w:vAlign w:val="top"/>
          </w:tcPr>
          <w:p w14:paraId="0D091F9E">
            <w:pPr>
              <w:spacing w:line="264" w:lineRule="auto"/>
              <w:rPr>
                <w:rFonts w:ascii="Arial"/>
                <w:sz w:val="21"/>
                <w:highlight w:val="none"/>
              </w:rPr>
            </w:pPr>
          </w:p>
          <w:p w14:paraId="2818B41F">
            <w:pPr>
              <w:spacing w:line="264" w:lineRule="auto"/>
              <w:rPr>
                <w:rFonts w:ascii="Arial"/>
                <w:sz w:val="21"/>
                <w:highlight w:val="none"/>
              </w:rPr>
            </w:pPr>
          </w:p>
          <w:p w14:paraId="12CADAFD">
            <w:pPr>
              <w:spacing w:line="265" w:lineRule="auto"/>
              <w:rPr>
                <w:rFonts w:ascii="Arial"/>
                <w:sz w:val="21"/>
                <w:highlight w:val="none"/>
              </w:rPr>
            </w:pPr>
          </w:p>
          <w:p w14:paraId="00A5572A">
            <w:pPr>
              <w:pStyle w:val="7"/>
              <w:spacing w:before="71" w:line="220" w:lineRule="auto"/>
              <w:ind w:left="113"/>
              <w:rPr>
                <w:sz w:val="22"/>
                <w:szCs w:val="22"/>
                <w:highlight w:val="none"/>
              </w:rPr>
            </w:pPr>
            <w:r>
              <w:rPr>
                <w:spacing w:val="-3"/>
                <w:sz w:val="22"/>
                <w:szCs w:val="22"/>
                <w:highlight w:val="none"/>
              </w:rPr>
              <w:t>85</w:t>
            </w:r>
            <w:r>
              <w:rPr>
                <w:spacing w:val="-63"/>
                <w:sz w:val="22"/>
                <w:szCs w:val="22"/>
                <w:highlight w:val="none"/>
              </w:rPr>
              <w:t xml:space="preserve"> </w:t>
            </w:r>
            <w:r>
              <w:rPr>
                <w:spacing w:val="-3"/>
                <w:sz w:val="22"/>
                <w:szCs w:val="22"/>
                <w:highlight w:val="none"/>
              </w:rPr>
              <w:t>系列断桥灰色</w:t>
            </w:r>
          </w:p>
        </w:tc>
        <w:tc>
          <w:tcPr>
            <w:tcW w:w="1471" w:type="dxa"/>
            <w:vAlign w:val="top"/>
          </w:tcPr>
          <w:p w14:paraId="53DBFC85">
            <w:pPr>
              <w:pStyle w:val="7"/>
              <w:spacing w:before="58" w:line="221" w:lineRule="auto"/>
              <w:ind w:left="116"/>
              <w:rPr>
                <w:sz w:val="22"/>
                <w:szCs w:val="22"/>
                <w:highlight w:val="none"/>
              </w:rPr>
            </w:pPr>
            <w:r>
              <w:rPr>
                <w:spacing w:val="-3"/>
                <w:sz w:val="22"/>
                <w:szCs w:val="22"/>
                <w:highlight w:val="none"/>
              </w:rPr>
              <w:t>直接安装</w:t>
            </w:r>
          </w:p>
        </w:tc>
        <w:tc>
          <w:tcPr>
            <w:tcW w:w="1268" w:type="dxa"/>
            <w:vAlign w:val="top"/>
          </w:tcPr>
          <w:p w14:paraId="6C620204">
            <w:pPr>
              <w:pStyle w:val="7"/>
              <w:spacing w:before="58" w:line="221" w:lineRule="auto"/>
              <w:ind w:left="179"/>
              <w:rPr>
                <w:sz w:val="22"/>
                <w:szCs w:val="22"/>
                <w:highlight w:val="none"/>
              </w:rPr>
            </w:pPr>
            <w:r>
              <w:rPr>
                <w:spacing w:val="-4"/>
                <w:sz w:val="22"/>
                <w:szCs w:val="22"/>
                <w:highlight w:val="none"/>
              </w:rPr>
              <w:t>580</w:t>
            </w:r>
            <w:r>
              <w:rPr>
                <w:spacing w:val="-45"/>
                <w:sz w:val="22"/>
                <w:szCs w:val="22"/>
                <w:highlight w:val="none"/>
              </w:rPr>
              <w:t xml:space="preserve"> </w:t>
            </w:r>
            <w:r>
              <w:rPr>
                <w:spacing w:val="-4"/>
                <w:sz w:val="22"/>
                <w:szCs w:val="22"/>
                <w:highlight w:val="none"/>
              </w:rPr>
              <w:t>元/㎡</w:t>
            </w:r>
          </w:p>
        </w:tc>
        <w:tc>
          <w:tcPr>
            <w:tcW w:w="600" w:type="dxa"/>
            <w:vAlign w:val="top"/>
          </w:tcPr>
          <w:p w14:paraId="6BE22462">
            <w:pPr>
              <w:rPr>
                <w:rFonts w:ascii="Arial"/>
                <w:sz w:val="21"/>
                <w:highlight w:val="none"/>
              </w:rPr>
            </w:pPr>
          </w:p>
        </w:tc>
      </w:tr>
      <w:tr w14:paraId="06F59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71F91C84">
            <w:pPr>
              <w:rPr>
                <w:rFonts w:ascii="Arial"/>
                <w:sz w:val="21"/>
                <w:highlight w:val="none"/>
              </w:rPr>
            </w:pPr>
          </w:p>
        </w:tc>
        <w:tc>
          <w:tcPr>
            <w:tcW w:w="682" w:type="dxa"/>
            <w:vMerge w:val="continue"/>
            <w:vAlign w:val="top"/>
          </w:tcPr>
          <w:p w14:paraId="17F43243">
            <w:pPr>
              <w:rPr>
                <w:rFonts w:ascii="Arial"/>
                <w:sz w:val="21"/>
                <w:highlight w:val="none"/>
              </w:rPr>
            </w:pPr>
          </w:p>
        </w:tc>
        <w:tc>
          <w:tcPr>
            <w:tcW w:w="1649" w:type="dxa"/>
            <w:vMerge w:val="continue"/>
            <w:vAlign w:val="top"/>
          </w:tcPr>
          <w:p w14:paraId="1D67992F">
            <w:pPr>
              <w:rPr>
                <w:rFonts w:ascii="Arial"/>
                <w:sz w:val="21"/>
                <w:highlight w:val="none"/>
              </w:rPr>
            </w:pPr>
          </w:p>
        </w:tc>
        <w:tc>
          <w:tcPr>
            <w:tcW w:w="1622" w:type="dxa"/>
            <w:vMerge w:val="continue"/>
            <w:vAlign w:val="top"/>
          </w:tcPr>
          <w:p w14:paraId="124A6B5B">
            <w:pPr>
              <w:rPr>
                <w:rFonts w:ascii="Arial"/>
                <w:sz w:val="21"/>
                <w:highlight w:val="none"/>
              </w:rPr>
            </w:pPr>
          </w:p>
        </w:tc>
        <w:tc>
          <w:tcPr>
            <w:tcW w:w="1785" w:type="dxa"/>
            <w:vMerge w:val="continue"/>
            <w:tcBorders>
              <w:top w:val="nil"/>
              <w:bottom w:val="nil"/>
            </w:tcBorders>
            <w:vAlign w:val="top"/>
          </w:tcPr>
          <w:p w14:paraId="7E41600B">
            <w:pPr>
              <w:rPr>
                <w:rFonts w:ascii="Arial"/>
                <w:sz w:val="21"/>
                <w:highlight w:val="none"/>
              </w:rPr>
            </w:pPr>
          </w:p>
        </w:tc>
        <w:tc>
          <w:tcPr>
            <w:tcW w:w="1471" w:type="dxa"/>
            <w:vAlign w:val="top"/>
          </w:tcPr>
          <w:p w14:paraId="0DAF0B14">
            <w:pPr>
              <w:pStyle w:val="7"/>
              <w:spacing w:before="66"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06A79841">
            <w:pPr>
              <w:pStyle w:val="7"/>
              <w:spacing w:before="210" w:line="221" w:lineRule="auto"/>
              <w:ind w:left="179"/>
              <w:rPr>
                <w:sz w:val="22"/>
                <w:szCs w:val="22"/>
                <w:highlight w:val="none"/>
              </w:rPr>
            </w:pPr>
            <w:r>
              <w:rPr>
                <w:spacing w:val="-4"/>
                <w:sz w:val="22"/>
                <w:szCs w:val="22"/>
                <w:highlight w:val="none"/>
              </w:rPr>
              <w:t>586</w:t>
            </w:r>
            <w:r>
              <w:rPr>
                <w:spacing w:val="-45"/>
                <w:sz w:val="22"/>
                <w:szCs w:val="22"/>
                <w:highlight w:val="none"/>
              </w:rPr>
              <w:t xml:space="preserve"> </w:t>
            </w:r>
            <w:r>
              <w:rPr>
                <w:spacing w:val="-4"/>
                <w:sz w:val="22"/>
                <w:szCs w:val="22"/>
                <w:highlight w:val="none"/>
              </w:rPr>
              <w:t>元/㎡</w:t>
            </w:r>
          </w:p>
        </w:tc>
        <w:tc>
          <w:tcPr>
            <w:tcW w:w="600" w:type="dxa"/>
            <w:vAlign w:val="top"/>
          </w:tcPr>
          <w:p w14:paraId="09E1AC96">
            <w:pPr>
              <w:rPr>
                <w:rFonts w:ascii="Arial"/>
                <w:sz w:val="21"/>
                <w:highlight w:val="none"/>
              </w:rPr>
            </w:pPr>
          </w:p>
        </w:tc>
      </w:tr>
      <w:tr w14:paraId="25CD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1FE51926">
            <w:pPr>
              <w:rPr>
                <w:rFonts w:ascii="Arial"/>
                <w:sz w:val="21"/>
                <w:highlight w:val="none"/>
              </w:rPr>
            </w:pPr>
          </w:p>
        </w:tc>
        <w:tc>
          <w:tcPr>
            <w:tcW w:w="682" w:type="dxa"/>
            <w:vMerge w:val="continue"/>
            <w:vAlign w:val="top"/>
          </w:tcPr>
          <w:p w14:paraId="45AC56C7">
            <w:pPr>
              <w:rPr>
                <w:rFonts w:ascii="Arial"/>
                <w:sz w:val="21"/>
                <w:highlight w:val="none"/>
              </w:rPr>
            </w:pPr>
          </w:p>
        </w:tc>
        <w:tc>
          <w:tcPr>
            <w:tcW w:w="1649" w:type="dxa"/>
            <w:vMerge w:val="continue"/>
            <w:vAlign w:val="top"/>
          </w:tcPr>
          <w:p w14:paraId="1D1247BF">
            <w:pPr>
              <w:rPr>
                <w:rFonts w:ascii="Arial"/>
                <w:sz w:val="21"/>
                <w:highlight w:val="none"/>
              </w:rPr>
            </w:pPr>
          </w:p>
        </w:tc>
        <w:tc>
          <w:tcPr>
            <w:tcW w:w="1622" w:type="dxa"/>
            <w:vMerge w:val="continue"/>
            <w:vAlign w:val="top"/>
          </w:tcPr>
          <w:p w14:paraId="26CF660E">
            <w:pPr>
              <w:rPr>
                <w:rFonts w:ascii="Arial"/>
                <w:sz w:val="21"/>
                <w:highlight w:val="none"/>
              </w:rPr>
            </w:pPr>
          </w:p>
        </w:tc>
        <w:tc>
          <w:tcPr>
            <w:tcW w:w="1785" w:type="dxa"/>
            <w:vMerge w:val="continue"/>
            <w:tcBorders>
              <w:top w:val="nil"/>
              <w:bottom w:val="nil"/>
            </w:tcBorders>
            <w:vAlign w:val="top"/>
          </w:tcPr>
          <w:p w14:paraId="597609C1">
            <w:pPr>
              <w:rPr>
                <w:rFonts w:ascii="Arial"/>
                <w:sz w:val="21"/>
                <w:highlight w:val="none"/>
              </w:rPr>
            </w:pPr>
          </w:p>
        </w:tc>
        <w:tc>
          <w:tcPr>
            <w:tcW w:w="1471" w:type="dxa"/>
            <w:vAlign w:val="top"/>
          </w:tcPr>
          <w:p w14:paraId="480B378E">
            <w:pPr>
              <w:pStyle w:val="7"/>
              <w:spacing w:before="208" w:line="220" w:lineRule="auto"/>
              <w:ind w:left="116"/>
              <w:rPr>
                <w:sz w:val="22"/>
                <w:szCs w:val="22"/>
                <w:highlight w:val="none"/>
              </w:rPr>
            </w:pPr>
            <w:r>
              <w:rPr>
                <w:spacing w:val="-2"/>
                <w:sz w:val="22"/>
                <w:szCs w:val="22"/>
                <w:highlight w:val="none"/>
              </w:rPr>
              <w:t>蜘蛛人辅助</w:t>
            </w:r>
          </w:p>
        </w:tc>
        <w:tc>
          <w:tcPr>
            <w:tcW w:w="1268" w:type="dxa"/>
            <w:vAlign w:val="top"/>
          </w:tcPr>
          <w:p w14:paraId="28EB15F1">
            <w:pPr>
              <w:pStyle w:val="7"/>
              <w:spacing w:before="208" w:line="221" w:lineRule="auto"/>
              <w:ind w:left="177"/>
              <w:rPr>
                <w:sz w:val="22"/>
                <w:szCs w:val="22"/>
                <w:highlight w:val="none"/>
              </w:rPr>
            </w:pPr>
            <w:r>
              <w:rPr>
                <w:spacing w:val="-4"/>
                <w:sz w:val="22"/>
                <w:szCs w:val="22"/>
                <w:highlight w:val="none"/>
              </w:rPr>
              <w:t>630</w:t>
            </w:r>
            <w:r>
              <w:rPr>
                <w:spacing w:val="-43"/>
                <w:sz w:val="22"/>
                <w:szCs w:val="22"/>
                <w:highlight w:val="none"/>
              </w:rPr>
              <w:t xml:space="preserve"> </w:t>
            </w:r>
            <w:r>
              <w:rPr>
                <w:spacing w:val="-4"/>
                <w:sz w:val="22"/>
                <w:szCs w:val="22"/>
                <w:highlight w:val="none"/>
              </w:rPr>
              <w:t>元/㎡</w:t>
            </w:r>
          </w:p>
        </w:tc>
        <w:tc>
          <w:tcPr>
            <w:tcW w:w="600" w:type="dxa"/>
            <w:vAlign w:val="top"/>
          </w:tcPr>
          <w:p w14:paraId="54AF75BA">
            <w:pPr>
              <w:rPr>
                <w:rFonts w:ascii="Arial"/>
                <w:sz w:val="21"/>
                <w:highlight w:val="none"/>
              </w:rPr>
            </w:pPr>
          </w:p>
        </w:tc>
      </w:tr>
      <w:tr w14:paraId="568B8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29CBC090">
            <w:pPr>
              <w:rPr>
                <w:rFonts w:ascii="Arial"/>
                <w:sz w:val="21"/>
                <w:highlight w:val="none"/>
              </w:rPr>
            </w:pPr>
          </w:p>
        </w:tc>
        <w:tc>
          <w:tcPr>
            <w:tcW w:w="682" w:type="dxa"/>
            <w:vMerge w:val="continue"/>
            <w:vAlign w:val="top"/>
          </w:tcPr>
          <w:p w14:paraId="41138D95">
            <w:pPr>
              <w:rPr>
                <w:rFonts w:ascii="Arial"/>
                <w:sz w:val="21"/>
                <w:highlight w:val="none"/>
              </w:rPr>
            </w:pPr>
          </w:p>
        </w:tc>
        <w:tc>
          <w:tcPr>
            <w:tcW w:w="1649" w:type="dxa"/>
            <w:vMerge w:val="continue"/>
            <w:vAlign w:val="top"/>
          </w:tcPr>
          <w:p w14:paraId="25928C13">
            <w:pPr>
              <w:rPr>
                <w:rFonts w:ascii="Arial"/>
                <w:sz w:val="21"/>
                <w:highlight w:val="none"/>
              </w:rPr>
            </w:pPr>
          </w:p>
        </w:tc>
        <w:tc>
          <w:tcPr>
            <w:tcW w:w="1622" w:type="dxa"/>
            <w:vMerge w:val="continue"/>
            <w:vAlign w:val="top"/>
          </w:tcPr>
          <w:p w14:paraId="41D3DDE1">
            <w:pPr>
              <w:rPr>
                <w:rFonts w:ascii="Arial"/>
                <w:sz w:val="21"/>
                <w:highlight w:val="none"/>
              </w:rPr>
            </w:pPr>
          </w:p>
        </w:tc>
        <w:tc>
          <w:tcPr>
            <w:tcW w:w="1785" w:type="dxa"/>
            <w:vMerge w:val="continue"/>
            <w:tcBorders>
              <w:top w:val="nil"/>
            </w:tcBorders>
            <w:vAlign w:val="top"/>
          </w:tcPr>
          <w:p w14:paraId="56364A3C">
            <w:pPr>
              <w:rPr>
                <w:rFonts w:ascii="Arial"/>
                <w:sz w:val="21"/>
                <w:highlight w:val="none"/>
              </w:rPr>
            </w:pPr>
          </w:p>
        </w:tc>
        <w:tc>
          <w:tcPr>
            <w:tcW w:w="1471" w:type="dxa"/>
            <w:vAlign w:val="top"/>
          </w:tcPr>
          <w:p w14:paraId="1FEF16E2">
            <w:pPr>
              <w:pStyle w:val="7"/>
              <w:spacing w:before="58" w:line="221" w:lineRule="auto"/>
              <w:ind w:left="141"/>
              <w:rPr>
                <w:sz w:val="22"/>
                <w:szCs w:val="22"/>
                <w:highlight w:val="none"/>
              </w:rPr>
            </w:pPr>
            <w:r>
              <w:rPr>
                <w:spacing w:val="-9"/>
                <w:sz w:val="22"/>
                <w:szCs w:val="22"/>
                <w:highlight w:val="none"/>
              </w:rPr>
              <w:t>吊篮辅助</w:t>
            </w:r>
          </w:p>
        </w:tc>
        <w:tc>
          <w:tcPr>
            <w:tcW w:w="1268" w:type="dxa"/>
            <w:vAlign w:val="top"/>
          </w:tcPr>
          <w:p w14:paraId="78D355B6">
            <w:pPr>
              <w:pStyle w:val="7"/>
              <w:spacing w:before="58" w:line="221" w:lineRule="auto"/>
              <w:ind w:left="179"/>
              <w:rPr>
                <w:sz w:val="22"/>
                <w:szCs w:val="22"/>
                <w:highlight w:val="none"/>
              </w:rPr>
            </w:pPr>
            <w:r>
              <w:rPr>
                <w:spacing w:val="-4"/>
                <w:sz w:val="22"/>
                <w:szCs w:val="22"/>
                <w:highlight w:val="none"/>
              </w:rPr>
              <w:t>590</w:t>
            </w:r>
            <w:r>
              <w:rPr>
                <w:spacing w:val="-45"/>
                <w:sz w:val="22"/>
                <w:szCs w:val="22"/>
                <w:highlight w:val="none"/>
              </w:rPr>
              <w:t xml:space="preserve"> </w:t>
            </w:r>
            <w:r>
              <w:rPr>
                <w:spacing w:val="-4"/>
                <w:sz w:val="22"/>
                <w:szCs w:val="22"/>
                <w:highlight w:val="none"/>
              </w:rPr>
              <w:t>元/㎡</w:t>
            </w:r>
          </w:p>
        </w:tc>
        <w:tc>
          <w:tcPr>
            <w:tcW w:w="600" w:type="dxa"/>
            <w:vAlign w:val="top"/>
          </w:tcPr>
          <w:p w14:paraId="32C3E12D">
            <w:pPr>
              <w:rPr>
                <w:rFonts w:ascii="Arial"/>
                <w:sz w:val="21"/>
                <w:highlight w:val="none"/>
              </w:rPr>
            </w:pPr>
          </w:p>
        </w:tc>
      </w:tr>
      <w:tr w14:paraId="09C3A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6A88DB1F">
            <w:pPr>
              <w:rPr>
                <w:rFonts w:ascii="Arial"/>
                <w:sz w:val="21"/>
                <w:highlight w:val="none"/>
              </w:rPr>
            </w:pPr>
          </w:p>
        </w:tc>
        <w:tc>
          <w:tcPr>
            <w:tcW w:w="682" w:type="dxa"/>
            <w:vMerge w:val="continue"/>
            <w:vAlign w:val="top"/>
          </w:tcPr>
          <w:p w14:paraId="7392D56B">
            <w:pPr>
              <w:rPr>
                <w:rFonts w:ascii="Arial"/>
                <w:sz w:val="21"/>
                <w:highlight w:val="none"/>
              </w:rPr>
            </w:pPr>
          </w:p>
        </w:tc>
        <w:tc>
          <w:tcPr>
            <w:tcW w:w="1649" w:type="dxa"/>
            <w:vMerge w:val="continue"/>
            <w:vAlign w:val="top"/>
          </w:tcPr>
          <w:p w14:paraId="17F7AE6B">
            <w:pPr>
              <w:rPr>
                <w:rFonts w:ascii="Arial"/>
                <w:sz w:val="21"/>
                <w:highlight w:val="none"/>
              </w:rPr>
            </w:pPr>
          </w:p>
        </w:tc>
        <w:tc>
          <w:tcPr>
            <w:tcW w:w="1622" w:type="dxa"/>
            <w:vMerge w:val="continue"/>
            <w:vAlign w:val="top"/>
          </w:tcPr>
          <w:p w14:paraId="00C30682">
            <w:pPr>
              <w:rPr>
                <w:rFonts w:ascii="Arial"/>
                <w:sz w:val="21"/>
                <w:highlight w:val="none"/>
              </w:rPr>
            </w:pPr>
          </w:p>
        </w:tc>
        <w:tc>
          <w:tcPr>
            <w:tcW w:w="1785" w:type="dxa"/>
            <w:vMerge w:val="restart"/>
            <w:vAlign w:val="top"/>
          </w:tcPr>
          <w:p w14:paraId="23BD37C3">
            <w:pPr>
              <w:spacing w:line="305" w:lineRule="auto"/>
              <w:rPr>
                <w:rFonts w:ascii="Arial"/>
                <w:sz w:val="21"/>
                <w:highlight w:val="none"/>
              </w:rPr>
            </w:pPr>
          </w:p>
          <w:p w14:paraId="777D64DC">
            <w:pPr>
              <w:pStyle w:val="7"/>
              <w:spacing w:before="71" w:line="219" w:lineRule="auto"/>
              <w:ind w:left="245"/>
              <w:rPr>
                <w:sz w:val="22"/>
                <w:szCs w:val="22"/>
                <w:highlight w:val="none"/>
              </w:rPr>
            </w:pPr>
            <w:r>
              <w:rPr>
                <w:spacing w:val="-3"/>
                <w:sz w:val="22"/>
                <w:szCs w:val="22"/>
                <w:highlight w:val="none"/>
              </w:rPr>
              <w:t>（不含型材）</w:t>
            </w:r>
          </w:p>
        </w:tc>
        <w:tc>
          <w:tcPr>
            <w:tcW w:w="1471" w:type="dxa"/>
            <w:vAlign w:val="top"/>
          </w:tcPr>
          <w:p w14:paraId="312E044B">
            <w:pPr>
              <w:pStyle w:val="7"/>
              <w:spacing w:before="58" w:line="221" w:lineRule="auto"/>
              <w:ind w:left="116"/>
              <w:rPr>
                <w:sz w:val="22"/>
                <w:szCs w:val="22"/>
                <w:highlight w:val="none"/>
              </w:rPr>
            </w:pPr>
            <w:r>
              <w:rPr>
                <w:spacing w:val="-3"/>
                <w:sz w:val="22"/>
                <w:szCs w:val="22"/>
                <w:highlight w:val="none"/>
              </w:rPr>
              <w:t>直接安装</w:t>
            </w:r>
          </w:p>
        </w:tc>
        <w:tc>
          <w:tcPr>
            <w:tcW w:w="1268" w:type="dxa"/>
            <w:vAlign w:val="top"/>
          </w:tcPr>
          <w:p w14:paraId="08DA5296">
            <w:pPr>
              <w:pStyle w:val="7"/>
              <w:spacing w:before="58" w:line="221" w:lineRule="auto"/>
              <w:ind w:left="178"/>
              <w:rPr>
                <w:sz w:val="22"/>
                <w:szCs w:val="22"/>
                <w:highlight w:val="none"/>
              </w:rPr>
            </w:pPr>
            <w:r>
              <w:rPr>
                <w:spacing w:val="-4"/>
                <w:sz w:val="22"/>
                <w:szCs w:val="22"/>
                <w:highlight w:val="none"/>
              </w:rPr>
              <w:t>260</w:t>
            </w:r>
            <w:r>
              <w:rPr>
                <w:spacing w:val="-43"/>
                <w:sz w:val="22"/>
                <w:szCs w:val="22"/>
                <w:highlight w:val="none"/>
              </w:rPr>
              <w:t xml:space="preserve"> </w:t>
            </w:r>
            <w:r>
              <w:rPr>
                <w:spacing w:val="-4"/>
                <w:sz w:val="22"/>
                <w:szCs w:val="22"/>
                <w:highlight w:val="none"/>
              </w:rPr>
              <w:t>元/㎡</w:t>
            </w:r>
          </w:p>
        </w:tc>
        <w:tc>
          <w:tcPr>
            <w:tcW w:w="600" w:type="dxa"/>
            <w:vAlign w:val="top"/>
          </w:tcPr>
          <w:p w14:paraId="5D1D69BF">
            <w:pPr>
              <w:rPr>
                <w:rFonts w:ascii="Arial"/>
                <w:sz w:val="21"/>
                <w:highlight w:val="none"/>
              </w:rPr>
            </w:pPr>
          </w:p>
        </w:tc>
      </w:tr>
      <w:tr w14:paraId="6CA3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469" w:type="dxa"/>
            <w:vMerge w:val="continue"/>
            <w:vAlign w:val="top"/>
          </w:tcPr>
          <w:p w14:paraId="6821365B">
            <w:pPr>
              <w:rPr>
                <w:rFonts w:ascii="Arial"/>
                <w:sz w:val="21"/>
                <w:highlight w:val="none"/>
              </w:rPr>
            </w:pPr>
          </w:p>
        </w:tc>
        <w:tc>
          <w:tcPr>
            <w:tcW w:w="682" w:type="dxa"/>
            <w:vMerge w:val="continue"/>
            <w:vAlign w:val="top"/>
          </w:tcPr>
          <w:p w14:paraId="51170179">
            <w:pPr>
              <w:rPr>
                <w:rFonts w:ascii="Arial"/>
                <w:sz w:val="21"/>
                <w:highlight w:val="none"/>
              </w:rPr>
            </w:pPr>
          </w:p>
        </w:tc>
        <w:tc>
          <w:tcPr>
            <w:tcW w:w="1649" w:type="dxa"/>
            <w:vMerge w:val="continue"/>
            <w:vAlign w:val="top"/>
          </w:tcPr>
          <w:p w14:paraId="004D337B">
            <w:pPr>
              <w:rPr>
                <w:rFonts w:ascii="Arial"/>
                <w:sz w:val="21"/>
                <w:highlight w:val="none"/>
              </w:rPr>
            </w:pPr>
          </w:p>
        </w:tc>
        <w:tc>
          <w:tcPr>
            <w:tcW w:w="1622" w:type="dxa"/>
            <w:vMerge w:val="continue"/>
            <w:vAlign w:val="top"/>
          </w:tcPr>
          <w:p w14:paraId="377FAF50">
            <w:pPr>
              <w:rPr>
                <w:rFonts w:ascii="Arial"/>
                <w:sz w:val="21"/>
                <w:highlight w:val="none"/>
              </w:rPr>
            </w:pPr>
          </w:p>
        </w:tc>
        <w:tc>
          <w:tcPr>
            <w:tcW w:w="1785" w:type="dxa"/>
            <w:vMerge w:val="continue"/>
            <w:vAlign w:val="top"/>
          </w:tcPr>
          <w:p w14:paraId="407B358D">
            <w:pPr>
              <w:rPr>
                <w:rFonts w:ascii="Arial"/>
                <w:sz w:val="21"/>
                <w:highlight w:val="none"/>
              </w:rPr>
            </w:pPr>
          </w:p>
        </w:tc>
        <w:tc>
          <w:tcPr>
            <w:tcW w:w="1471" w:type="dxa"/>
            <w:vAlign w:val="top"/>
          </w:tcPr>
          <w:p w14:paraId="742B23FC">
            <w:pPr>
              <w:pStyle w:val="7"/>
              <w:spacing w:before="67" w:line="229"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2CD14459">
            <w:pPr>
              <w:pStyle w:val="7"/>
              <w:spacing w:before="208" w:line="221" w:lineRule="auto"/>
              <w:ind w:left="178"/>
              <w:rPr>
                <w:sz w:val="22"/>
                <w:szCs w:val="22"/>
                <w:highlight w:val="none"/>
              </w:rPr>
            </w:pPr>
            <w:r>
              <w:rPr>
                <w:spacing w:val="-4"/>
                <w:sz w:val="22"/>
                <w:szCs w:val="22"/>
                <w:highlight w:val="none"/>
              </w:rPr>
              <w:t>266</w:t>
            </w:r>
            <w:r>
              <w:rPr>
                <w:spacing w:val="-43"/>
                <w:sz w:val="22"/>
                <w:szCs w:val="22"/>
                <w:highlight w:val="none"/>
              </w:rPr>
              <w:t xml:space="preserve"> </w:t>
            </w:r>
            <w:r>
              <w:rPr>
                <w:spacing w:val="-4"/>
                <w:sz w:val="22"/>
                <w:szCs w:val="22"/>
                <w:highlight w:val="none"/>
              </w:rPr>
              <w:t>元/㎡</w:t>
            </w:r>
          </w:p>
        </w:tc>
        <w:tc>
          <w:tcPr>
            <w:tcW w:w="600" w:type="dxa"/>
            <w:vAlign w:val="top"/>
          </w:tcPr>
          <w:p w14:paraId="3A52CDAF">
            <w:pPr>
              <w:rPr>
                <w:rFonts w:ascii="Arial"/>
                <w:sz w:val="21"/>
                <w:highlight w:val="none"/>
              </w:rPr>
            </w:pPr>
          </w:p>
        </w:tc>
      </w:tr>
      <w:tr w14:paraId="36AE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9" w:type="dxa"/>
            <w:vMerge w:val="continue"/>
            <w:vAlign w:val="top"/>
          </w:tcPr>
          <w:p w14:paraId="575C7DD5">
            <w:pPr>
              <w:rPr>
                <w:rFonts w:ascii="Arial"/>
                <w:sz w:val="21"/>
                <w:highlight w:val="none"/>
              </w:rPr>
            </w:pPr>
          </w:p>
        </w:tc>
        <w:tc>
          <w:tcPr>
            <w:tcW w:w="682" w:type="dxa"/>
            <w:vMerge w:val="continue"/>
            <w:vAlign w:val="top"/>
          </w:tcPr>
          <w:p w14:paraId="0F18475B">
            <w:pPr>
              <w:rPr>
                <w:rFonts w:ascii="Arial"/>
                <w:sz w:val="21"/>
                <w:highlight w:val="none"/>
              </w:rPr>
            </w:pPr>
          </w:p>
        </w:tc>
        <w:tc>
          <w:tcPr>
            <w:tcW w:w="1649" w:type="dxa"/>
            <w:vMerge w:val="continue"/>
            <w:vAlign w:val="top"/>
          </w:tcPr>
          <w:p w14:paraId="73376010">
            <w:pPr>
              <w:rPr>
                <w:rFonts w:ascii="Arial"/>
                <w:sz w:val="21"/>
                <w:highlight w:val="none"/>
              </w:rPr>
            </w:pPr>
          </w:p>
        </w:tc>
        <w:tc>
          <w:tcPr>
            <w:tcW w:w="1622" w:type="dxa"/>
            <w:vMerge w:val="continue"/>
            <w:vAlign w:val="top"/>
          </w:tcPr>
          <w:p w14:paraId="0F03C074">
            <w:pPr>
              <w:rPr>
                <w:rFonts w:ascii="Arial"/>
                <w:sz w:val="21"/>
                <w:highlight w:val="none"/>
              </w:rPr>
            </w:pPr>
          </w:p>
        </w:tc>
        <w:tc>
          <w:tcPr>
            <w:tcW w:w="1785" w:type="dxa"/>
            <w:vMerge w:val="continue"/>
            <w:vAlign w:val="top"/>
          </w:tcPr>
          <w:p w14:paraId="1DDCE2D5">
            <w:pPr>
              <w:rPr>
                <w:rFonts w:ascii="Arial"/>
                <w:sz w:val="21"/>
                <w:highlight w:val="none"/>
              </w:rPr>
            </w:pPr>
          </w:p>
        </w:tc>
        <w:tc>
          <w:tcPr>
            <w:tcW w:w="1471" w:type="dxa"/>
            <w:vAlign w:val="top"/>
          </w:tcPr>
          <w:p w14:paraId="71D15C1A">
            <w:pPr>
              <w:pStyle w:val="7"/>
              <w:spacing w:before="59" w:line="220" w:lineRule="auto"/>
              <w:ind w:left="116"/>
              <w:rPr>
                <w:sz w:val="22"/>
                <w:szCs w:val="22"/>
                <w:highlight w:val="none"/>
              </w:rPr>
            </w:pPr>
            <w:r>
              <w:rPr>
                <w:spacing w:val="-2"/>
                <w:sz w:val="22"/>
                <w:szCs w:val="22"/>
                <w:highlight w:val="none"/>
              </w:rPr>
              <w:t>蜘蛛人辅助</w:t>
            </w:r>
          </w:p>
        </w:tc>
        <w:tc>
          <w:tcPr>
            <w:tcW w:w="1268" w:type="dxa"/>
            <w:vAlign w:val="top"/>
          </w:tcPr>
          <w:p w14:paraId="1851303D">
            <w:pPr>
              <w:pStyle w:val="7"/>
              <w:spacing w:before="58" w:line="221" w:lineRule="auto"/>
              <w:ind w:left="179"/>
              <w:rPr>
                <w:sz w:val="22"/>
                <w:szCs w:val="22"/>
                <w:highlight w:val="none"/>
              </w:rPr>
            </w:pPr>
            <w:r>
              <w:rPr>
                <w:spacing w:val="-4"/>
                <w:sz w:val="22"/>
                <w:szCs w:val="22"/>
                <w:highlight w:val="none"/>
              </w:rPr>
              <w:t>310</w:t>
            </w:r>
            <w:r>
              <w:rPr>
                <w:spacing w:val="-45"/>
                <w:sz w:val="22"/>
                <w:szCs w:val="22"/>
                <w:highlight w:val="none"/>
              </w:rPr>
              <w:t xml:space="preserve"> </w:t>
            </w:r>
            <w:r>
              <w:rPr>
                <w:spacing w:val="-4"/>
                <w:sz w:val="22"/>
                <w:szCs w:val="22"/>
                <w:highlight w:val="none"/>
              </w:rPr>
              <w:t>元/㎡</w:t>
            </w:r>
          </w:p>
        </w:tc>
        <w:tc>
          <w:tcPr>
            <w:tcW w:w="600" w:type="dxa"/>
            <w:vAlign w:val="top"/>
          </w:tcPr>
          <w:p w14:paraId="18443654">
            <w:pPr>
              <w:rPr>
                <w:rFonts w:ascii="Arial"/>
                <w:sz w:val="21"/>
                <w:highlight w:val="none"/>
              </w:rPr>
            </w:pPr>
          </w:p>
        </w:tc>
      </w:tr>
      <w:tr w14:paraId="7A609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583C7A1E">
            <w:pPr>
              <w:rPr>
                <w:rFonts w:ascii="Arial"/>
                <w:sz w:val="21"/>
                <w:highlight w:val="none"/>
              </w:rPr>
            </w:pPr>
          </w:p>
        </w:tc>
        <w:tc>
          <w:tcPr>
            <w:tcW w:w="682" w:type="dxa"/>
            <w:vMerge w:val="continue"/>
            <w:vAlign w:val="top"/>
          </w:tcPr>
          <w:p w14:paraId="5B403D1E">
            <w:pPr>
              <w:rPr>
                <w:rFonts w:ascii="Arial"/>
                <w:sz w:val="21"/>
                <w:highlight w:val="none"/>
              </w:rPr>
            </w:pPr>
          </w:p>
        </w:tc>
        <w:tc>
          <w:tcPr>
            <w:tcW w:w="1649" w:type="dxa"/>
            <w:vMerge w:val="continue"/>
            <w:vAlign w:val="top"/>
          </w:tcPr>
          <w:p w14:paraId="3EC8A78C">
            <w:pPr>
              <w:rPr>
                <w:rFonts w:ascii="Arial"/>
                <w:sz w:val="21"/>
                <w:highlight w:val="none"/>
              </w:rPr>
            </w:pPr>
          </w:p>
        </w:tc>
        <w:tc>
          <w:tcPr>
            <w:tcW w:w="1622" w:type="dxa"/>
            <w:vMerge w:val="continue"/>
            <w:vAlign w:val="top"/>
          </w:tcPr>
          <w:p w14:paraId="2884FC38">
            <w:pPr>
              <w:rPr>
                <w:rFonts w:ascii="Arial"/>
                <w:sz w:val="21"/>
                <w:highlight w:val="none"/>
              </w:rPr>
            </w:pPr>
          </w:p>
        </w:tc>
        <w:tc>
          <w:tcPr>
            <w:tcW w:w="1785" w:type="dxa"/>
            <w:vMerge w:val="continue"/>
            <w:vAlign w:val="top"/>
          </w:tcPr>
          <w:p w14:paraId="0096C81E">
            <w:pPr>
              <w:rPr>
                <w:rFonts w:ascii="Arial"/>
                <w:sz w:val="21"/>
                <w:highlight w:val="none"/>
              </w:rPr>
            </w:pPr>
          </w:p>
        </w:tc>
        <w:tc>
          <w:tcPr>
            <w:tcW w:w="1471" w:type="dxa"/>
            <w:vAlign w:val="top"/>
          </w:tcPr>
          <w:p w14:paraId="11516E80">
            <w:pPr>
              <w:pStyle w:val="7"/>
              <w:spacing w:before="55" w:line="221" w:lineRule="auto"/>
              <w:ind w:left="141"/>
              <w:rPr>
                <w:sz w:val="22"/>
                <w:szCs w:val="22"/>
                <w:highlight w:val="none"/>
              </w:rPr>
            </w:pPr>
            <w:r>
              <w:rPr>
                <w:spacing w:val="-9"/>
                <w:sz w:val="22"/>
                <w:szCs w:val="22"/>
                <w:highlight w:val="none"/>
              </w:rPr>
              <w:t>吊篮辅助</w:t>
            </w:r>
          </w:p>
        </w:tc>
        <w:tc>
          <w:tcPr>
            <w:tcW w:w="1268" w:type="dxa"/>
            <w:vAlign w:val="top"/>
          </w:tcPr>
          <w:p w14:paraId="59F8640E">
            <w:pPr>
              <w:pStyle w:val="7"/>
              <w:spacing w:before="55" w:line="221" w:lineRule="auto"/>
              <w:ind w:left="178"/>
              <w:rPr>
                <w:sz w:val="22"/>
                <w:szCs w:val="22"/>
                <w:highlight w:val="none"/>
              </w:rPr>
            </w:pPr>
            <w:r>
              <w:rPr>
                <w:spacing w:val="-4"/>
                <w:sz w:val="22"/>
                <w:szCs w:val="22"/>
                <w:highlight w:val="none"/>
              </w:rPr>
              <w:t>270</w:t>
            </w:r>
            <w:r>
              <w:rPr>
                <w:spacing w:val="-43"/>
                <w:sz w:val="22"/>
                <w:szCs w:val="22"/>
                <w:highlight w:val="none"/>
              </w:rPr>
              <w:t xml:space="preserve"> </w:t>
            </w:r>
            <w:r>
              <w:rPr>
                <w:spacing w:val="-4"/>
                <w:sz w:val="22"/>
                <w:szCs w:val="22"/>
                <w:highlight w:val="none"/>
              </w:rPr>
              <w:t>元/㎡</w:t>
            </w:r>
          </w:p>
        </w:tc>
        <w:tc>
          <w:tcPr>
            <w:tcW w:w="600" w:type="dxa"/>
            <w:vAlign w:val="top"/>
          </w:tcPr>
          <w:p w14:paraId="5B4A3199">
            <w:pPr>
              <w:rPr>
                <w:rFonts w:ascii="Arial"/>
                <w:sz w:val="21"/>
                <w:highlight w:val="none"/>
              </w:rPr>
            </w:pPr>
          </w:p>
        </w:tc>
      </w:tr>
      <w:tr w14:paraId="06431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6A37C114">
            <w:pPr>
              <w:rPr>
                <w:rFonts w:ascii="Arial"/>
                <w:sz w:val="21"/>
                <w:highlight w:val="none"/>
              </w:rPr>
            </w:pPr>
          </w:p>
        </w:tc>
        <w:tc>
          <w:tcPr>
            <w:tcW w:w="682" w:type="dxa"/>
            <w:vMerge w:val="continue"/>
            <w:vAlign w:val="top"/>
          </w:tcPr>
          <w:p w14:paraId="43F25AC2">
            <w:pPr>
              <w:rPr>
                <w:rFonts w:ascii="Arial"/>
                <w:sz w:val="21"/>
                <w:highlight w:val="none"/>
              </w:rPr>
            </w:pPr>
          </w:p>
        </w:tc>
        <w:tc>
          <w:tcPr>
            <w:tcW w:w="1649" w:type="dxa"/>
            <w:vMerge w:val="restart"/>
            <w:tcBorders>
              <w:bottom w:val="nil"/>
            </w:tcBorders>
            <w:vAlign w:val="top"/>
          </w:tcPr>
          <w:p w14:paraId="44D490CB">
            <w:pPr>
              <w:spacing w:line="270" w:lineRule="auto"/>
              <w:rPr>
                <w:rFonts w:ascii="Arial"/>
                <w:sz w:val="21"/>
                <w:highlight w:val="none"/>
              </w:rPr>
            </w:pPr>
          </w:p>
          <w:p w14:paraId="4328A5F7">
            <w:pPr>
              <w:spacing w:line="270" w:lineRule="auto"/>
              <w:rPr>
                <w:rFonts w:ascii="Arial"/>
                <w:sz w:val="21"/>
                <w:highlight w:val="none"/>
              </w:rPr>
            </w:pPr>
          </w:p>
          <w:p w14:paraId="74ECDF19">
            <w:pPr>
              <w:spacing w:line="270" w:lineRule="auto"/>
              <w:rPr>
                <w:rFonts w:ascii="Arial"/>
                <w:sz w:val="21"/>
                <w:highlight w:val="none"/>
              </w:rPr>
            </w:pPr>
          </w:p>
          <w:p w14:paraId="12B5F3A1">
            <w:pPr>
              <w:spacing w:line="270" w:lineRule="auto"/>
              <w:rPr>
                <w:rFonts w:ascii="Arial"/>
                <w:sz w:val="21"/>
                <w:highlight w:val="none"/>
              </w:rPr>
            </w:pPr>
          </w:p>
          <w:p w14:paraId="3A61C587">
            <w:pPr>
              <w:spacing w:line="271" w:lineRule="auto"/>
              <w:rPr>
                <w:rFonts w:ascii="Arial"/>
                <w:sz w:val="21"/>
                <w:highlight w:val="none"/>
              </w:rPr>
            </w:pPr>
          </w:p>
          <w:p w14:paraId="6B8DD675">
            <w:pPr>
              <w:spacing w:line="271" w:lineRule="auto"/>
              <w:rPr>
                <w:rFonts w:ascii="Arial"/>
                <w:sz w:val="21"/>
                <w:highlight w:val="none"/>
              </w:rPr>
            </w:pPr>
          </w:p>
          <w:p w14:paraId="79E608EF">
            <w:pPr>
              <w:pStyle w:val="7"/>
              <w:spacing w:before="71" w:line="229" w:lineRule="auto"/>
              <w:ind w:left="609" w:right="165" w:hanging="436"/>
              <w:rPr>
                <w:sz w:val="22"/>
                <w:szCs w:val="22"/>
                <w:highlight w:val="none"/>
              </w:rPr>
            </w:pPr>
            <w:r>
              <w:rPr>
                <w:spacing w:val="-3"/>
                <w:sz w:val="22"/>
                <w:szCs w:val="22"/>
                <w:highlight w:val="none"/>
              </w:rPr>
              <w:t>高层铝合金下</w:t>
            </w:r>
            <w:r>
              <w:rPr>
                <w:spacing w:val="2"/>
                <w:sz w:val="22"/>
                <w:szCs w:val="22"/>
                <w:highlight w:val="none"/>
              </w:rPr>
              <w:t xml:space="preserve"> </w:t>
            </w:r>
            <w:r>
              <w:rPr>
                <w:spacing w:val="-4"/>
                <w:sz w:val="22"/>
                <w:szCs w:val="22"/>
                <w:highlight w:val="none"/>
              </w:rPr>
              <w:t>开窗</w:t>
            </w:r>
          </w:p>
        </w:tc>
        <w:tc>
          <w:tcPr>
            <w:tcW w:w="1622" w:type="dxa"/>
            <w:vMerge w:val="restart"/>
            <w:tcBorders>
              <w:bottom w:val="nil"/>
            </w:tcBorders>
            <w:vAlign w:val="top"/>
          </w:tcPr>
          <w:p w14:paraId="55EF4BD4">
            <w:pPr>
              <w:spacing w:line="270" w:lineRule="auto"/>
              <w:rPr>
                <w:rFonts w:ascii="Arial"/>
                <w:sz w:val="21"/>
                <w:highlight w:val="none"/>
              </w:rPr>
            </w:pPr>
          </w:p>
          <w:p w14:paraId="4B34F852">
            <w:pPr>
              <w:spacing w:line="270" w:lineRule="auto"/>
              <w:rPr>
                <w:rFonts w:ascii="Arial"/>
                <w:sz w:val="21"/>
                <w:highlight w:val="none"/>
              </w:rPr>
            </w:pPr>
          </w:p>
          <w:p w14:paraId="6A344219">
            <w:pPr>
              <w:spacing w:line="270" w:lineRule="auto"/>
              <w:rPr>
                <w:rFonts w:ascii="Arial"/>
                <w:sz w:val="21"/>
                <w:highlight w:val="none"/>
              </w:rPr>
            </w:pPr>
          </w:p>
          <w:p w14:paraId="6C250272">
            <w:pPr>
              <w:spacing w:line="270" w:lineRule="auto"/>
              <w:rPr>
                <w:rFonts w:ascii="Arial"/>
                <w:sz w:val="21"/>
                <w:highlight w:val="none"/>
              </w:rPr>
            </w:pPr>
          </w:p>
          <w:p w14:paraId="0E04A4CB">
            <w:pPr>
              <w:spacing w:line="271" w:lineRule="auto"/>
              <w:rPr>
                <w:rFonts w:ascii="Arial"/>
                <w:sz w:val="21"/>
                <w:highlight w:val="none"/>
              </w:rPr>
            </w:pPr>
          </w:p>
          <w:p w14:paraId="02F9B2CF">
            <w:pPr>
              <w:spacing w:line="271" w:lineRule="auto"/>
              <w:rPr>
                <w:rFonts w:ascii="Arial"/>
                <w:sz w:val="21"/>
                <w:highlight w:val="none"/>
              </w:rPr>
            </w:pPr>
          </w:p>
          <w:p w14:paraId="27EAFDD2">
            <w:pPr>
              <w:pStyle w:val="7"/>
              <w:spacing w:before="71" w:line="229" w:lineRule="auto"/>
              <w:ind w:left="264" w:right="150" w:hanging="108"/>
              <w:rPr>
                <w:sz w:val="22"/>
                <w:szCs w:val="22"/>
                <w:highlight w:val="none"/>
              </w:rPr>
            </w:pPr>
            <w:r>
              <w:rPr>
                <w:spacing w:val="-1"/>
                <w:sz w:val="22"/>
                <w:szCs w:val="22"/>
                <w:highlight w:val="none"/>
              </w:rPr>
              <w:t>6low-e+12A+6</w:t>
            </w:r>
            <w:r>
              <w:rPr>
                <w:sz w:val="22"/>
                <w:szCs w:val="22"/>
                <w:highlight w:val="none"/>
              </w:rPr>
              <w:t xml:space="preserve"> </w:t>
            </w:r>
            <w:r>
              <w:rPr>
                <w:spacing w:val="-2"/>
                <w:sz w:val="22"/>
                <w:szCs w:val="22"/>
                <w:highlight w:val="none"/>
              </w:rPr>
              <w:t>双钢化玻璃</w:t>
            </w:r>
          </w:p>
        </w:tc>
        <w:tc>
          <w:tcPr>
            <w:tcW w:w="1785" w:type="dxa"/>
            <w:vMerge w:val="restart"/>
            <w:tcBorders>
              <w:bottom w:val="nil"/>
            </w:tcBorders>
            <w:vAlign w:val="top"/>
          </w:tcPr>
          <w:p w14:paraId="353C5C8E">
            <w:pPr>
              <w:spacing w:line="263" w:lineRule="auto"/>
              <w:rPr>
                <w:rFonts w:ascii="Arial"/>
                <w:sz w:val="21"/>
                <w:highlight w:val="none"/>
              </w:rPr>
            </w:pPr>
          </w:p>
          <w:p w14:paraId="4B9F8123">
            <w:pPr>
              <w:spacing w:line="263" w:lineRule="auto"/>
              <w:rPr>
                <w:rFonts w:ascii="Arial"/>
                <w:sz w:val="21"/>
                <w:highlight w:val="none"/>
              </w:rPr>
            </w:pPr>
          </w:p>
          <w:p w14:paraId="26F376F7">
            <w:pPr>
              <w:spacing w:line="263" w:lineRule="auto"/>
              <w:rPr>
                <w:rFonts w:ascii="Arial"/>
                <w:sz w:val="21"/>
                <w:highlight w:val="none"/>
              </w:rPr>
            </w:pPr>
          </w:p>
          <w:p w14:paraId="4451C888">
            <w:pPr>
              <w:pStyle w:val="7"/>
              <w:spacing w:before="71" w:line="220" w:lineRule="auto"/>
              <w:ind w:left="113"/>
              <w:rPr>
                <w:sz w:val="22"/>
                <w:szCs w:val="22"/>
                <w:highlight w:val="none"/>
              </w:rPr>
            </w:pPr>
            <w:r>
              <w:rPr>
                <w:spacing w:val="-3"/>
                <w:sz w:val="22"/>
                <w:szCs w:val="22"/>
                <w:highlight w:val="none"/>
              </w:rPr>
              <w:t>85</w:t>
            </w:r>
            <w:r>
              <w:rPr>
                <w:spacing w:val="-63"/>
                <w:sz w:val="22"/>
                <w:szCs w:val="22"/>
                <w:highlight w:val="none"/>
              </w:rPr>
              <w:t xml:space="preserve"> </w:t>
            </w:r>
            <w:r>
              <w:rPr>
                <w:spacing w:val="-3"/>
                <w:sz w:val="22"/>
                <w:szCs w:val="22"/>
                <w:highlight w:val="none"/>
              </w:rPr>
              <w:t>系列断桥灰色</w:t>
            </w:r>
          </w:p>
        </w:tc>
        <w:tc>
          <w:tcPr>
            <w:tcW w:w="1471" w:type="dxa"/>
            <w:vAlign w:val="top"/>
          </w:tcPr>
          <w:p w14:paraId="459EF2F1">
            <w:pPr>
              <w:pStyle w:val="7"/>
              <w:spacing w:before="54" w:line="221" w:lineRule="auto"/>
              <w:ind w:left="116"/>
              <w:rPr>
                <w:sz w:val="22"/>
                <w:szCs w:val="22"/>
                <w:highlight w:val="none"/>
              </w:rPr>
            </w:pPr>
            <w:r>
              <w:rPr>
                <w:spacing w:val="-3"/>
                <w:sz w:val="22"/>
                <w:szCs w:val="22"/>
                <w:highlight w:val="none"/>
              </w:rPr>
              <w:t>直接安装</w:t>
            </w:r>
          </w:p>
        </w:tc>
        <w:tc>
          <w:tcPr>
            <w:tcW w:w="1268" w:type="dxa"/>
            <w:vAlign w:val="top"/>
          </w:tcPr>
          <w:p w14:paraId="4D099F5C">
            <w:pPr>
              <w:pStyle w:val="7"/>
              <w:spacing w:before="54" w:line="221" w:lineRule="auto"/>
              <w:ind w:left="179"/>
              <w:rPr>
                <w:sz w:val="22"/>
                <w:szCs w:val="22"/>
                <w:highlight w:val="none"/>
              </w:rPr>
            </w:pPr>
            <w:r>
              <w:rPr>
                <w:spacing w:val="-4"/>
                <w:sz w:val="22"/>
                <w:szCs w:val="22"/>
                <w:highlight w:val="none"/>
              </w:rPr>
              <w:t>580</w:t>
            </w:r>
            <w:r>
              <w:rPr>
                <w:spacing w:val="-45"/>
                <w:sz w:val="22"/>
                <w:szCs w:val="22"/>
                <w:highlight w:val="none"/>
              </w:rPr>
              <w:t xml:space="preserve"> </w:t>
            </w:r>
            <w:r>
              <w:rPr>
                <w:spacing w:val="-4"/>
                <w:sz w:val="22"/>
                <w:szCs w:val="22"/>
                <w:highlight w:val="none"/>
              </w:rPr>
              <w:t>元/㎡</w:t>
            </w:r>
          </w:p>
        </w:tc>
        <w:tc>
          <w:tcPr>
            <w:tcW w:w="600" w:type="dxa"/>
            <w:vAlign w:val="top"/>
          </w:tcPr>
          <w:p w14:paraId="508B0DD5">
            <w:pPr>
              <w:rPr>
                <w:rFonts w:ascii="Arial"/>
                <w:sz w:val="21"/>
                <w:highlight w:val="none"/>
              </w:rPr>
            </w:pPr>
          </w:p>
        </w:tc>
      </w:tr>
      <w:tr w14:paraId="76DB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vAlign w:val="top"/>
          </w:tcPr>
          <w:p w14:paraId="48AAED0D">
            <w:pPr>
              <w:rPr>
                <w:rFonts w:ascii="Arial"/>
                <w:sz w:val="21"/>
                <w:highlight w:val="none"/>
              </w:rPr>
            </w:pPr>
          </w:p>
        </w:tc>
        <w:tc>
          <w:tcPr>
            <w:tcW w:w="682" w:type="dxa"/>
            <w:vMerge w:val="continue"/>
            <w:vAlign w:val="top"/>
          </w:tcPr>
          <w:p w14:paraId="0E7982EE">
            <w:pPr>
              <w:rPr>
                <w:rFonts w:ascii="Arial"/>
                <w:sz w:val="21"/>
                <w:highlight w:val="none"/>
              </w:rPr>
            </w:pPr>
          </w:p>
        </w:tc>
        <w:tc>
          <w:tcPr>
            <w:tcW w:w="1649" w:type="dxa"/>
            <w:vMerge w:val="continue"/>
            <w:tcBorders>
              <w:top w:val="nil"/>
              <w:bottom w:val="nil"/>
            </w:tcBorders>
            <w:vAlign w:val="top"/>
          </w:tcPr>
          <w:p w14:paraId="5BB1B631">
            <w:pPr>
              <w:rPr>
                <w:rFonts w:ascii="Arial"/>
                <w:sz w:val="21"/>
                <w:highlight w:val="none"/>
              </w:rPr>
            </w:pPr>
          </w:p>
        </w:tc>
        <w:tc>
          <w:tcPr>
            <w:tcW w:w="1622" w:type="dxa"/>
            <w:vMerge w:val="continue"/>
            <w:tcBorders>
              <w:top w:val="nil"/>
              <w:bottom w:val="nil"/>
            </w:tcBorders>
            <w:vAlign w:val="top"/>
          </w:tcPr>
          <w:p w14:paraId="29CB1A74">
            <w:pPr>
              <w:rPr>
                <w:rFonts w:ascii="Arial"/>
                <w:sz w:val="21"/>
                <w:highlight w:val="none"/>
              </w:rPr>
            </w:pPr>
          </w:p>
        </w:tc>
        <w:tc>
          <w:tcPr>
            <w:tcW w:w="1785" w:type="dxa"/>
            <w:vMerge w:val="continue"/>
            <w:tcBorders>
              <w:top w:val="nil"/>
              <w:bottom w:val="nil"/>
            </w:tcBorders>
            <w:vAlign w:val="top"/>
          </w:tcPr>
          <w:p w14:paraId="103F478B">
            <w:pPr>
              <w:rPr>
                <w:rFonts w:ascii="Arial"/>
                <w:sz w:val="21"/>
                <w:highlight w:val="none"/>
              </w:rPr>
            </w:pPr>
          </w:p>
        </w:tc>
        <w:tc>
          <w:tcPr>
            <w:tcW w:w="1471" w:type="dxa"/>
            <w:vAlign w:val="top"/>
          </w:tcPr>
          <w:p w14:paraId="3EBCBFC3">
            <w:pPr>
              <w:pStyle w:val="7"/>
              <w:spacing w:before="62" w:line="230"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1885C5D1">
            <w:pPr>
              <w:pStyle w:val="7"/>
              <w:spacing w:before="206" w:line="221" w:lineRule="auto"/>
              <w:ind w:left="179"/>
              <w:rPr>
                <w:sz w:val="22"/>
                <w:szCs w:val="22"/>
                <w:highlight w:val="none"/>
              </w:rPr>
            </w:pPr>
            <w:r>
              <w:rPr>
                <w:spacing w:val="-4"/>
                <w:sz w:val="22"/>
                <w:szCs w:val="22"/>
                <w:highlight w:val="none"/>
              </w:rPr>
              <w:t>586</w:t>
            </w:r>
            <w:r>
              <w:rPr>
                <w:spacing w:val="-45"/>
                <w:sz w:val="22"/>
                <w:szCs w:val="22"/>
                <w:highlight w:val="none"/>
              </w:rPr>
              <w:t xml:space="preserve"> </w:t>
            </w:r>
            <w:r>
              <w:rPr>
                <w:spacing w:val="-4"/>
                <w:sz w:val="22"/>
                <w:szCs w:val="22"/>
                <w:highlight w:val="none"/>
              </w:rPr>
              <w:t>元/㎡</w:t>
            </w:r>
          </w:p>
        </w:tc>
        <w:tc>
          <w:tcPr>
            <w:tcW w:w="600" w:type="dxa"/>
            <w:vAlign w:val="top"/>
          </w:tcPr>
          <w:p w14:paraId="15C2AFBC">
            <w:pPr>
              <w:rPr>
                <w:rFonts w:ascii="Arial"/>
                <w:sz w:val="21"/>
                <w:highlight w:val="none"/>
              </w:rPr>
            </w:pPr>
          </w:p>
        </w:tc>
      </w:tr>
      <w:tr w14:paraId="67D0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vAlign w:val="top"/>
          </w:tcPr>
          <w:p w14:paraId="139E1D42">
            <w:pPr>
              <w:rPr>
                <w:rFonts w:ascii="Arial"/>
                <w:sz w:val="21"/>
                <w:highlight w:val="none"/>
              </w:rPr>
            </w:pPr>
          </w:p>
        </w:tc>
        <w:tc>
          <w:tcPr>
            <w:tcW w:w="682" w:type="dxa"/>
            <w:vMerge w:val="continue"/>
            <w:vAlign w:val="top"/>
          </w:tcPr>
          <w:p w14:paraId="1938AA47">
            <w:pPr>
              <w:rPr>
                <w:rFonts w:ascii="Arial"/>
                <w:sz w:val="21"/>
                <w:highlight w:val="none"/>
              </w:rPr>
            </w:pPr>
          </w:p>
        </w:tc>
        <w:tc>
          <w:tcPr>
            <w:tcW w:w="1649" w:type="dxa"/>
            <w:vMerge w:val="continue"/>
            <w:tcBorders>
              <w:top w:val="nil"/>
              <w:bottom w:val="nil"/>
            </w:tcBorders>
            <w:vAlign w:val="top"/>
          </w:tcPr>
          <w:p w14:paraId="3BE8718B">
            <w:pPr>
              <w:rPr>
                <w:rFonts w:ascii="Arial"/>
                <w:sz w:val="21"/>
                <w:highlight w:val="none"/>
              </w:rPr>
            </w:pPr>
          </w:p>
        </w:tc>
        <w:tc>
          <w:tcPr>
            <w:tcW w:w="1622" w:type="dxa"/>
            <w:vMerge w:val="continue"/>
            <w:tcBorders>
              <w:top w:val="nil"/>
              <w:bottom w:val="nil"/>
            </w:tcBorders>
            <w:vAlign w:val="top"/>
          </w:tcPr>
          <w:p w14:paraId="28258B56">
            <w:pPr>
              <w:rPr>
                <w:rFonts w:ascii="Arial"/>
                <w:sz w:val="21"/>
                <w:highlight w:val="none"/>
              </w:rPr>
            </w:pPr>
          </w:p>
        </w:tc>
        <w:tc>
          <w:tcPr>
            <w:tcW w:w="1785" w:type="dxa"/>
            <w:vMerge w:val="continue"/>
            <w:tcBorders>
              <w:top w:val="nil"/>
              <w:bottom w:val="nil"/>
            </w:tcBorders>
            <w:vAlign w:val="top"/>
          </w:tcPr>
          <w:p w14:paraId="6BD0F267">
            <w:pPr>
              <w:rPr>
                <w:rFonts w:ascii="Arial"/>
                <w:sz w:val="21"/>
                <w:highlight w:val="none"/>
              </w:rPr>
            </w:pPr>
          </w:p>
        </w:tc>
        <w:tc>
          <w:tcPr>
            <w:tcW w:w="1471" w:type="dxa"/>
            <w:vAlign w:val="top"/>
          </w:tcPr>
          <w:p w14:paraId="5B7E14D9">
            <w:pPr>
              <w:pStyle w:val="7"/>
              <w:spacing w:before="205" w:line="220" w:lineRule="auto"/>
              <w:ind w:left="116"/>
              <w:rPr>
                <w:sz w:val="22"/>
                <w:szCs w:val="22"/>
                <w:highlight w:val="none"/>
              </w:rPr>
            </w:pPr>
            <w:r>
              <w:rPr>
                <w:spacing w:val="-2"/>
                <w:sz w:val="22"/>
                <w:szCs w:val="22"/>
                <w:highlight w:val="none"/>
              </w:rPr>
              <w:t>蜘蛛人辅助</w:t>
            </w:r>
          </w:p>
        </w:tc>
        <w:tc>
          <w:tcPr>
            <w:tcW w:w="1268" w:type="dxa"/>
            <w:vAlign w:val="top"/>
          </w:tcPr>
          <w:p w14:paraId="1CA8F63F">
            <w:pPr>
              <w:pStyle w:val="7"/>
              <w:spacing w:before="205" w:line="221" w:lineRule="auto"/>
              <w:ind w:left="177"/>
              <w:rPr>
                <w:sz w:val="22"/>
                <w:szCs w:val="22"/>
                <w:highlight w:val="none"/>
              </w:rPr>
            </w:pPr>
            <w:r>
              <w:rPr>
                <w:spacing w:val="-4"/>
                <w:sz w:val="22"/>
                <w:szCs w:val="22"/>
                <w:highlight w:val="none"/>
              </w:rPr>
              <w:t>630</w:t>
            </w:r>
            <w:r>
              <w:rPr>
                <w:spacing w:val="-43"/>
                <w:sz w:val="22"/>
                <w:szCs w:val="22"/>
                <w:highlight w:val="none"/>
              </w:rPr>
              <w:t xml:space="preserve"> </w:t>
            </w:r>
            <w:r>
              <w:rPr>
                <w:spacing w:val="-4"/>
                <w:sz w:val="22"/>
                <w:szCs w:val="22"/>
                <w:highlight w:val="none"/>
              </w:rPr>
              <w:t>元/㎡</w:t>
            </w:r>
          </w:p>
        </w:tc>
        <w:tc>
          <w:tcPr>
            <w:tcW w:w="600" w:type="dxa"/>
            <w:vAlign w:val="top"/>
          </w:tcPr>
          <w:p w14:paraId="05A7E8C1">
            <w:pPr>
              <w:rPr>
                <w:rFonts w:ascii="Arial"/>
                <w:sz w:val="21"/>
                <w:highlight w:val="none"/>
              </w:rPr>
            </w:pPr>
          </w:p>
        </w:tc>
      </w:tr>
      <w:tr w14:paraId="0571E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5895A40E">
            <w:pPr>
              <w:rPr>
                <w:rFonts w:ascii="Arial"/>
                <w:sz w:val="21"/>
                <w:highlight w:val="none"/>
              </w:rPr>
            </w:pPr>
          </w:p>
        </w:tc>
        <w:tc>
          <w:tcPr>
            <w:tcW w:w="682" w:type="dxa"/>
            <w:vMerge w:val="continue"/>
            <w:vAlign w:val="top"/>
          </w:tcPr>
          <w:p w14:paraId="6E1EF85B">
            <w:pPr>
              <w:rPr>
                <w:rFonts w:ascii="Arial"/>
                <w:sz w:val="21"/>
                <w:highlight w:val="none"/>
              </w:rPr>
            </w:pPr>
          </w:p>
        </w:tc>
        <w:tc>
          <w:tcPr>
            <w:tcW w:w="1649" w:type="dxa"/>
            <w:vMerge w:val="continue"/>
            <w:tcBorders>
              <w:top w:val="nil"/>
              <w:bottom w:val="nil"/>
            </w:tcBorders>
            <w:vAlign w:val="top"/>
          </w:tcPr>
          <w:p w14:paraId="4C3349BC">
            <w:pPr>
              <w:rPr>
                <w:rFonts w:ascii="Arial"/>
                <w:sz w:val="21"/>
                <w:highlight w:val="none"/>
              </w:rPr>
            </w:pPr>
          </w:p>
        </w:tc>
        <w:tc>
          <w:tcPr>
            <w:tcW w:w="1622" w:type="dxa"/>
            <w:vMerge w:val="continue"/>
            <w:tcBorders>
              <w:top w:val="nil"/>
              <w:bottom w:val="nil"/>
            </w:tcBorders>
            <w:vAlign w:val="top"/>
          </w:tcPr>
          <w:p w14:paraId="06029D21">
            <w:pPr>
              <w:rPr>
                <w:rFonts w:ascii="Arial"/>
                <w:sz w:val="21"/>
                <w:highlight w:val="none"/>
              </w:rPr>
            </w:pPr>
          </w:p>
        </w:tc>
        <w:tc>
          <w:tcPr>
            <w:tcW w:w="1785" w:type="dxa"/>
            <w:vMerge w:val="continue"/>
            <w:tcBorders>
              <w:top w:val="nil"/>
            </w:tcBorders>
            <w:vAlign w:val="top"/>
          </w:tcPr>
          <w:p w14:paraId="2004336C">
            <w:pPr>
              <w:rPr>
                <w:rFonts w:ascii="Arial"/>
                <w:sz w:val="21"/>
                <w:highlight w:val="none"/>
              </w:rPr>
            </w:pPr>
          </w:p>
        </w:tc>
        <w:tc>
          <w:tcPr>
            <w:tcW w:w="1471" w:type="dxa"/>
            <w:vAlign w:val="top"/>
          </w:tcPr>
          <w:p w14:paraId="1F1548A9">
            <w:pPr>
              <w:pStyle w:val="7"/>
              <w:spacing w:before="56" w:line="221" w:lineRule="auto"/>
              <w:ind w:left="141"/>
              <w:rPr>
                <w:sz w:val="22"/>
                <w:szCs w:val="22"/>
                <w:highlight w:val="none"/>
              </w:rPr>
            </w:pPr>
            <w:r>
              <w:rPr>
                <w:spacing w:val="-9"/>
                <w:sz w:val="22"/>
                <w:szCs w:val="22"/>
                <w:highlight w:val="none"/>
              </w:rPr>
              <w:t>吊篮辅助</w:t>
            </w:r>
          </w:p>
        </w:tc>
        <w:tc>
          <w:tcPr>
            <w:tcW w:w="1268" w:type="dxa"/>
            <w:vAlign w:val="top"/>
          </w:tcPr>
          <w:p w14:paraId="3E245CC8">
            <w:pPr>
              <w:pStyle w:val="7"/>
              <w:spacing w:before="56" w:line="221" w:lineRule="auto"/>
              <w:ind w:left="179"/>
              <w:rPr>
                <w:sz w:val="22"/>
                <w:szCs w:val="22"/>
                <w:highlight w:val="none"/>
              </w:rPr>
            </w:pPr>
            <w:r>
              <w:rPr>
                <w:spacing w:val="-4"/>
                <w:sz w:val="22"/>
                <w:szCs w:val="22"/>
                <w:highlight w:val="none"/>
              </w:rPr>
              <w:t>590</w:t>
            </w:r>
            <w:r>
              <w:rPr>
                <w:spacing w:val="-45"/>
                <w:sz w:val="22"/>
                <w:szCs w:val="22"/>
                <w:highlight w:val="none"/>
              </w:rPr>
              <w:t xml:space="preserve"> </w:t>
            </w:r>
            <w:r>
              <w:rPr>
                <w:spacing w:val="-4"/>
                <w:sz w:val="22"/>
                <w:szCs w:val="22"/>
                <w:highlight w:val="none"/>
              </w:rPr>
              <w:t>元/㎡</w:t>
            </w:r>
          </w:p>
        </w:tc>
        <w:tc>
          <w:tcPr>
            <w:tcW w:w="600" w:type="dxa"/>
            <w:vAlign w:val="top"/>
          </w:tcPr>
          <w:p w14:paraId="0962B010">
            <w:pPr>
              <w:rPr>
                <w:rFonts w:ascii="Arial"/>
                <w:sz w:val="21"/>
                <w:highlight w:val="none"/>
              </w:rPr>
            </w:pPr>
          </w:p>
        </w:tc>
      </w:tr>
      <w:tr w14:paraId="7FFA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6D324C78">
            <w:pPr>
              <w:rPr>
                <w:rFonts w:ascii="Arial"/>
                <w:sz w:val="21"/>
                <w:highlight w:val="none"/>
              </w:rPr>
            </w:pPr>
          </w:p>
        </w:tc>
        <w:tc>
          <w:tcPr>
            <w:tcW w:w="682" w:type="dxa"/>
            <w:vMerge w:val="continue"/>
            <w:vAlign w:val="top"/>
          </w:tcPr>
          <w:p w14:paraId="230D840D">
            <w:pPr>
              <w:rPr>
                <w:rFonts w:ascii="Arial"/>
                <w:sz w:val="21"/>
                <w:highlight w:val="none"/>
              </w:rPr>
            </w:pPr>
          </w:p>
        </w:tc>
        <w:tc>
          <w:tcPr>
            <w:tcW w:w="1649" w:type="dxa"/>
            <w:vMerge w:val="continue"/>
            <w:tcBorders>
              <w:top w:val="nil"/>
              <w:bottom w:val="nil"/>
            </w:tcBorders>
            <w:vAlign w:val="top"/>
          </w:tcPr>
          <w:p w14:paraId="7A3CA495">
            <w:pPr>
              <w:rPr>
                <w:rFonts w:ascii="Arial"/>
                <w:sz w:val="21"/>
                <w:highlight w:val="none"/>
              </w:rPr>
            </w:pPr>
          </w:p>
        </w:tc>
        <w:tc>
          <w:tcPr>
            <w:tcW w:w="1622" w:type="dxa"/>
            <w:vMerge w:val="continue"/>
            <w:tcBorders>
              <w:top w:val="nil"/>
              <w:bottom w:val="nil"/>
            </w:tcBorders>
            <w:vAlign w:val="top"/>
          </w:tcPr>
          <w:p w14:paraId="1B2F302E">
            <w:pPr>
              <w:rPr>
                <w:rFonts w:ascii="Arial"/>
                <w:sz w:val="21"/>
                <w:highlight w:val="none"/>
              </w:rPr>
            </w:pPr>
          </w:p>
        </w:tc>
        <w:tc>
          <w:tcPr>
            <w:tcW w:w="1785" w:type="dxa"/>
            <w:vMerge w:val="restart"/>
            <w:tcBorders>
              <w:bottom w:val="nil"/>
            </w:tcBorders>
            <w:vAlign w:val="top"/>
          </w:tcPr>
          <w:p w14:paraId="12B2B0B5">
            <w:pPr>
              <w:spacing w:line="264" w:lineRule="auto"/>
              <w:rPr>
                <w:rFonts w:ascii="Arial"/>
                <w:sz w:val="21"/>
                <w:highlight w:val="none"/>
              </w:rPr>
            </w:pPr>
          </w:p>
          <w:p w14:paraId="4115B892">
            <w:pPr>
              <w:spacing w:line="264" w:lineRule="auto"/>
              <w:rPr>
                <w:rFonts w:ascii="Arial"/>
                <w:sz w:val="21"/>
                <w:highlight w:val="none"/>
              </w:rPr>
            </w:pPr>
          </w:p>
          <w:p w14:paraId="7787819E">
            <w:pPr>
              <w:spacing w:line="264" w:lineRule="auto"/>
              <w:rPr>
                <w:rFonts w:ascii="Arial"/>
                <w:sz w:val="21"/>
                <w:highlight w:val="none"/>
              </w:rPr>
            </w:pPr>
          </w:p>
          <w:p w14:paraId="1C86239E">
            <w:pPr>
              <w:pStyle w:val="7"/>
              <w:spacing w:before="71" w:line="219" w:lineRule="auto"/>
              <w:ind w:left="245"/>
              <w:rPr>
                <w:sz w:val="22"/>
                <w:szCs w:val="22"/>
                <w:highlight w:val="none"/>
              </w:rPr>
            </w:pPr>
            <w:r>
              <w:rPr>
                <w:spacing w:val="-3"/>
                <w:sz w:val="22"/>
                <w:szCs w:val="22"/>
                <w:highlight w:val="none"/>
              </w:rPr>
              <w:t>（不含型材）</w:t>
            </w:r>
          </w:p>
        </w:tc>
        <w:tc>
          <w:tcPr>
            <w:tcW w:w="1471" w:type="dxa"/>
            <w:vAlign w:val="top"/>
          </w:tcPr>
          <w:p w14:paraId="44DEE81D">
            <w:pPr>
              <w:pStyle w:val="7"/>
              <w:spacing w:before="56" w:line="221" w:lineRule="auto"/>
              <w:ind w:left="116"/>
              <w:rPr>
                <w:sz w:val="22"/>
                <w:szCs w:val="22"/>
                <w:highlight w:val="none"/>
              </w:rPr>
            </w:pPr>
            <w:r>
              <w:rPr>
                <w:spacing w:val="-3"/>
                <w:sz w:val="22"/>
                <w:szCs w:val="22"/>
                <w:highlight w:val="none"/>
              </w:rPr>
              <w:t>直接安装</w:t>
            </w:r>
          </w:p>
        </w:tc>
        <w:tc>
          <w:tcPr>
            <w:tcW w:w="1268" w:type="dxa"/>
            <w:vAlign w:val="top"/>
          </w:tcPr>
          <w:p w14:paraId="0930A3A3">
            <w:pPr>
              <w:pStyle w:val="7"/>
              <w:spacing w:before="56" w:line="221" w:lineRule="auto"/>
              <w:ind w:left="178"/>
              <w:rPr>
                <w:sz w:val="22"/>
                <w:szCs w:val="22"/>
                <w:highlight w:val="none"/>
              </w:rPr>
            </w:pPr>
            <w:r>
              <w:rPr>
                <w:spacing w:val="-4"/>
                <w:sz w:val="22"/>
                <w:szCs w:val="22"/>
                <w:highlight w:val="none"/>
              </w:rPr>
              <w:t>260</w:t>
            </w:r>
            <w:r>
              <w:rPr>
                <w:spacing w:val="-43"/>
                <w:sz w:val="22"/>
                <w:szCs w:val="22"/>
                <w:highlight w:val="none"/>
              </w:rPr>
              <w:t xml:space="preserve"> </w:t>
            </w:r>
            <w:r>
              <w:rPr>
                <w:spacing w:val="-4"/>
                <w:sz w:val="22"/>
                <w:szCs w:val="22"/>
                <w:highlight w:val="none"/>
              </w:rPr>
              <w:t>元/㎡</w:t>
            </w:r>
          </w:p>
        </w:tc>
        <w:tc>
          <w:tcPr>
            <w:tcW w:w="600" w:type="dxa"/>
            <w:vAlign w:val="top"/>
          </w:tcPr>
          <w:p w14:paraId="316D126D">
            <w:pPr>
              <w:rPr>
                <w:rFonts w:ascii="Arial"/>
                <w:sz w:val="21"/>
                <w:highlight w:val="none"/>
              </w:rPr>
            </w:pPr>
          </w:p>
        </w:tc>
      </w:tr>
      <w:tr w14:paraId="5F08B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69" w:type="dxa"/>
            <w:vMerge w:val="continue"/>
            <w:vAlign w:val="top"/>
          </w:tcPr>
          <w:p w14:paraId="46604CA9">
            <w:pPr>
              <w:rPr>
                <w:rFonts w:ascii="Arial"/>
                <w:sz w:val="21"/>
                <w:highlight w:val="none"/>
              </w:rPr>
            </w:pPr>
          </w:p>
        </w:tc>
        <w:tc>
          <w:tcPr>
            <w:tcW w:w="682" w:type="dxa"/>
            <w:vMerge w:val="continue"/>
            <w:vAlign w:val="top"/>
          </w:tcPr>
          <w:p w14:paraId="150A8585">
            <w:pPr>
              <w:rPr>
                <w:rFonts w:ascii="Arial"/>
                <w:sz w:val="21"/>
                <w:highlight w:val="none"/>
              </w:rPr>
            </w:pPr>
          </w:p>
        </w:tc>
        <w:tc>
          <w:tcPr>
            <w:tcW w:w="1649" w:type="dxa"/>
            <w:vMerge w:val="continue"/>
            <w:tcBorders>
              <w:top w:val="nil"/>
              <w:bottom w:val="nil"/>
            </w:tcBorders>
            <w:vAlign w:val="top"/>
          </w:tcPr>
          <w:p w14:paraId="7AB289AB">
            <w:pPr>
              <w:rPr>
                <w:rFonts w:ascii="Arial"/>
                <w:sz w:val="21"/>
                <w:highlight w:val="none"/>
              </w:rPr>
            </w:pPr>
          </w:p>
        </w:tc>
        <w:tc>
          <w:tcPr>
            <w:tcW w:w="1622" w:type="dxa"/>
            <w:vMerge w:val="continue"/>
            <w:tcBorders>
              <w:top w:val="nil"/>
              <w:bottom w:val="nil"/>
            </w:tcBorders>
            <w:vAlign w:val="top"/>
          </w:tcPr>
          <w:p w14:paraId="016E8C0A">
            <w:pPr>
              <w:rPr>
                <w:rFonts w:ascii="Arial"/>
                <w:sz w:val="21"/>
                <w:highlight w:val="none"/>
              </w:rPr>
            </w:pPr>
          </w:p>
        </w:tc>
        <w:tc>
          <w:tcPr>
            <w:tcW w:w="1785" w:type="dxa"/>
            <w:vMerge w:val="continue"/>
            <w:tcBorders>
              <w:top w:val="nil"/>
              <w:bottom w:val="nil"/>
            </w:tcBorders>
            <w:vAlign w:val="top"/>
          </w:tcPr>
          <w:p w14:paraId="387475F7">
            <w:pPr>
              <w:rPr>
                <w:rFonts w:ascii="Arial"/>
                <w:sz w:val="21"/>
                <w:highlight w:val="none"/>
              </w:rPr>
            </w:pPr>
          </w:p>
        </w:tc>
        <w:tc>
          <w:tcPr>
            <w:tcW w:w="1471" w:type="dxa"/>
            <w:vAlign w:val="top"/>
          </w:tcPr>
          <w:p w14:paraId="22677423">
            <w:pPr>
              <w:pStyle w:val="7"/>
              <w:spacing w:before="65" w:line="229" w:lineRule="auto"/>
              <w:ind w:left="116" w:right="257"/>
              <w:rPr>
                <w:sz w:val="22"/>
                <w:szCs w:val="22"/>
                <w:highlight w:val="none"/>
              </w:rPr>
            </w:pPr>
            <w:r>
              <w:rPr>
                <w:spacing w:val="-2"/>
                <w:sz w:val="22"/>
                <w:szCs w:val="22"/>
                <w:highlight w:val="none"/>
              </w:rPr>
              <w:t>移动脚手架</w:t>
            </w:r>
            <w:r>
              <w:rPr>
                <w:spacing w:val="1"/>
                <w:sz w:val="22"/>
                <w:szCs w:val="22"/>
                <w:highlight w:val="none"/>
              </w:rPr>
              <w:t xml:space="preserve"> </w:t>
            </w:r>
            <w:r>
              <w:rPr>
                <w:spacing w:val="-5"/>
                <w:sz w:val="22"/>
                <w:szCs w:val="22"/>
                <w:highlight w:val="none"/>
              </w:rPr>
              <w:t>辅助</w:t>
            </w:r>
          </w:p>
        </w:tc>
        <w:tc>
          <w:tcPr>
            <w:tcW w:w="1268" w:type="dxa"/>
            <w:vAlign w:val="top"/>
          </w:tcPr>
          <w:p w14:paraId="2B7CA0EB">
            <w:pPr>
              <w:pStyle w:val="7"/>
              <w:spacing w:before="206" w:line="221" w:lineRule="auto"/>
              <w:ind w:left="178"/>
              <w:rPr>
                <w:sz w:val="22"/>
                <w:szCs w:val="22"/>
                <w:highlight w:val="none"/>
              </w:rPr>
            </w:pPr>
            <w:r>
              <w:rPr>
                <w:spacing w:val="-4"/>
                <w:sz w:val="22"/>
                <w:szCs w:val="22"/>
                <w:highlight w:val="none"/>
              </w:rPr>
              <w:t>266</w:t>
            </w:r>
            <w:r>
              <w:rPr>
                <w:spacing w:val="-43"/>
                <w:sz w:val="22"/>
                <w:szCs w:val="22"/>
                <w:highlight w:val="none"/>
              </w:rPr>
              <w:t xml:space="preserve"> </w:t>
            </w:r>
            <w:r>
              <w:rPr>
                <w:spacing w:val="-4"/>
                <w:sz w:val="22"/>
                <w:szCs w:val="22"/>
                <w:highlight w:val="none"/>
              </w:rPr>
              <w:t>元/㎡</w:t>
            </w:r>
          </w:p>
        </w:tc>
        <w:tc>
          <w:tcPr>
            <w:tcW w:w="600" w:type="dxa"/>
            <w:vAlign w:val="top"/>
          </w:tcPr>
          <w:p w14:paraId="678CB136">
            <w:pPr>
              <w:rPr>
                <w:rFonts w:ascii="Arial"/>
                <w:sz w:val="21"/>
                <w:highlight w:val="none"/>
              </w:rPr>
            </w:pPr>
          </w:p>
        </w:tc>
      </w:tr>
      <w:tr w14:paraId="12FF9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06643E3E">
            <w:pPr>
              <w:rPr>
                <w:rFonts w:ascii="Arial"/>
                <w:sz w:val="21"/>
                <w:highlight w:val="none"/>
              </w:rPr>
            </w:pPr>
          </w:p>
        </w:tc>
        <w:tc>
          <w:tcPr>
            <w:tcW w:w="682" w:type="dxa"/>
            <w:vMerge w:val="continue"/>
            <w:vAlign w:val="top"/>
          </w:tcPr>
          <w:p w14:paraId="226A7F02">
            <w:pPr>
              <w:rPr>
                <w:rFonts w:ascii="Arial"/>
                <w:sz w:val="21"/>
                <w:highlight w:val="none"/>
              </w:rPr>
            </w:pPr>
          </w:p>
        </w:tc>
        <w:tc>
          <w:tcPr>
            <w:tcW w:w="1649" w:type="dxa"/>
            <w:vMerge w:val="continue"/>
            <w:tcBorders>
              <w:top w:val="nil"/>
              <w:bottom w:val="nil"/>
            </w:tcBorders>
            <w:vAlign w:val="top"/>
          </w:tcPr>
          <w:p w14:paraId="5DBABE19">
            <w:pPr>
              <w:rPr>
                <w:rFonts w:ascii="Arial"/>
                <w:sz w:val="21"/>
                <w:highlight w:val="none"/>
              </w:rPr>
            </w:pPr>
          </w:p>
        </w:tc>
        <w:tc>
          <w:tcPr>
            <w:tcW w:w="1622" w:type="dxa"/>
            <w:vMerge w:val="continue"/>
            <w:tcBorders>
              <w:top w:val="nil"/>
              <w:bottom w:val="nil"/>
            </w:tcBorders>
            <w:vAlign w:val="top"/>
          </w:tcPr>
          <w:p w14:paraId="188FBA06">
            <w:pPr>
              <w:rPr>
                <w:rFonts w:ascii="Arial"/>
                <w:sz w:val="21"/>
                <w:highlight w:val="none"/>
              </w:rPr>
            </w:pPr>
          </w:p>
        </w:tc>
        <w:tc>
          <w:tcPr>
            <w:tcW w:w="1785" w:type="dxa"/>
            <w:vMerge w:val="continue"/>
            <w:tcBorders>
              <w:top w:val="nil"/>
              <w:bottom w:val="nil"/>
            </w:tcBorders>
            <w:vAlign w:val="top"/>
          </w:tcPr>
          <w:p w14:paraId="59914A1B">
            <w:pPr>
              <w:rPr>
                <w:rFonts w:ascii="Arial"/>
                <w:sz w:val="21"/>
                <w:highlight w:val="none"/>
              </w:rPr>
            </w:pPr>
          </w:p>
        </w:tc>
        <w:tc>
          <w:tcPr>
            <w:tcW w:w="1471" w:type="dxa"/>
            <w:vAlign w:val="top"/>
          </w:tcPr>
          <w:p w14:paraId="2C9427E5">
            <w:pPr>
              <w:pStyle w:val="7"/>
              <w:spacing w:before="208" w:line="220" w:lineRule="auto"/>
              <w:ind w:left="116"/>
              <w:rPr>
                <w:sz w:val="22"/>
                <w:szCs w:val="22"/>
                <w:highlight w:val="none"/>
              </w:rPr>
            </w:pPr>
            <w:r>
              <w:rPr>
                <w:spacing w:val="-2"/>
                <w:sz w:val="22"/>
                <w:szCs w:val="22"/>
                <w:highlight w:val="none"/>
              </w:rPr>
              <w:t>蜘蛛人辅助</w:t>
            </w:r>
          </w:p>
        </w:tc>
        <w:tc>
          <w:tcPr>
            <w:tcW w:w="1268" w:type="dxa"/>
            <w:vAlign w:val="top"/>
          </w:tcPr>
          <w:p w14:paraId="68383EEC">
            <w:pPr>
              <w:pStyle w:val="7"/>
              <w:spacing w:before="208" w:line="221" w:lineRule="auto"/>
              <w:ind w:left="179"/>
              <w:rPr>
                <w:sz w:val="22"/>
                <w:szCs w:val="22"/>
                <w:highlight w:val="none"/>
              </w:rPr>
            </w:pPr>
            <w:r>
              <w:rPr>
                <w:spacing w:val="-4"/>
                <w:sz w:val="22"/>
                <w:szCs w:val="22"/>
                <w:highlight w:val="none"/>
              </w:rPr>
              <w:t>310</w:t>
            </w:r>
            <w:r>
              <w:rPr>
                <w:spacing w:val="-45"/>
                <w:sz w:val="22"/>
                <w:szCs w:val="22"/>
                <w:highlight w:val="none"/>
              </w:rPr>
              <w:t xml:space="preserve"> </w:t>
            </w:r>
            <w:r>
              <w:rPr>
                <w:spacing w:val="-4"/>
                <w:sz w:val="22"/>
                <w:szCs w:val="22"/>
                <w:highlight w:val="none"/>
              </w:rPr>
              <w:t>元/㎡</w:t>
            </w:r>
          </w:p>
        </w:tc>
        <w:tc>
          <w:tcPr>
            <w:tcW w:w="600" w:type="dxa"/>
            <w:vAlign w:val="top"/>
          </w:tcPr>
          <w:p w14:paraId="42359DF4">
            <w:pPr>
              <w:rPr>
                <w:rFonts w:ascii="Arial"/>
                <w:sz w:val="21"/>
                <w:highlight w:val="none"/>
              </w:rPr>
            </w:pPr>
          </w:p>
        </w:tc>
      </w:tr>
      <w:tr w14:paraId="0842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027584A2">
            <w:pPr>
              <w:rPr>
                <w:rFonts w:ascii="Arial"/>
                <w:sz w:val="21"/>
                <w:highlight w:val="none"/>
              </w:rPr>
            </w:pPr>
          </w:p>
        </w:tc>
        <w:tc>
          <w:tcPr>
            <w:tcW w:w="682" w:type="dxa"/>
            <w:vMerge w:val="continue"/>
            <w:vAlign w:val="top"/>
          </w:tcPr>
          <w:p w14:paraId="6A842C0B">
            <w:pPr>
              <w:rPr>
                <w:rFonts w:ascii="Arial"/>
                <w:sz w:val="21"/>
                <w:highlight w:val="none"/>
              </w:rPr>
            </w:pPr>
          </w:p>
        </w:tc>
        <w:tc>
          <w:tcPr>
            <w:tcW w:w="1649" w:type="dxa"/>
            <w:vMerge w:val="continue"/>
            <w:tcBorders>
              <w:top w:val="nil"/>
            </w:tcBorders>
            <w:vAlign w:val="top"/>
          </w:tcPr>
          <w:p w14:paraId="6FE70876">
            <w:pPr>
              <w:rPr>
                <w:rFonts w:ascii="Arial"/>
                <w:sz w:val="21"/>
                <w:highlight w:val="none"/>
              </w:rPr>
            </w:pPr>
          </w:p>
        </w:tc>
        <w:tc>
          <w:tcPr>
            <w:tcW w:w="1622" w:type="dxa"/>
            <w:vMerge w:val="continue"/>
            <w:tcBorders>
              <w:top w:val="nil"/>
            </w:tcBorders>
            <w:vAlign w:val="top"/>
          </w:tcPr>
          <w:p w14:paraId="62756AEB">
            <w:pPr>
              <w:rPr>
                <w:rFonts w:ascii="Arial"/>
                <w:sz w:val="21"/>
                <w:highlight w:val="none"/>
              </w:rPr>
            </w:pPr>
          </w:p>
        </w:tc>
        <w:tc>
          <w:tcPr>
            <w:tcW w:w="1785" w:type="dxa"/>
            <w:vMerge w:val="continue"/>
            <w:tcBorders>
              <w:top w:val="nil"/>
            </w:tcBorders>
            <w:vAlign w:val="top"/>
          </w:tcPr>
          <w:p w14:paraId="72F60258">
            <w:pPr>
              <w:rPr>
                <w:rFonts w:ascii="Arial"/>
                <w:sz w:val="21"/>
                <w:highlight w:val="none"/>
              </w:rPr>
            </w:pPr>
          </w:p>
        </w:tc>
        <w:tc>
          <w:tcPr>
            <w:tcW w:w="1471" w:type="dxa"/>
            <w:vAlign w:val="top"/>
          </w:tcPr>
          <w:p w14:paraId="6DF9695A">
            <w:pPr>
              <w:pStyle w:val="7"/>
              <w:spacing w:before="57" w:line="221" w:lineRule="auto"/>
              <w:ind w:left="141"/>
              <w:rPr>
                <w:sz w:val="22"/>
                <w:szCs w:val="22"/>
                <w:highlight w:val="none"/>
              </w:rPr>
            </w:pPr>
            <w:r>
              <w:rPr>
                <w:spacing w:val="-9"/>
                <w:sz w:val="22"/>
                <w:szCs w:val="22"/>
                <w:highlight w:val="none"/>
              </w:rPr>
              <w:t>吊篮辅助</w:t>
            </w:r>
          </w:p>
        </w:tc>
        <w:tc>
          <w:tcPr>
            <w:tcW w:w="1268" w:type="dxa"/>
            <w:vAlign w:val="top"/>
          </w:tcPr>
          <w:p w14:paraId="5FB14644">
            <w:pPr>
              <w:pStyle w:val="7"/>
              <w:spacing w:before="57" w:line="221" w:lineRule="auto"/>
              <w:ind w:left="178"/>
              <w:rPr>
                <w:sz w:val="22"/>
                <w:szCs w:val="22"/>
                <w:highlight w:val="none"/>
              </w:rPr>
            </w:pPr>
            <w:r>
              <w:rPr>
                <w:spacing w:val="-4"/>
                <w:sz w:val="22"/>
                <w:szCs w:val="22"/>
                <w:highlight w:val="none"/>
              </w:rPr>
              <w:t>270</w:t>
            </w:r>
            <w:r>
              <w:rPr>
                <w:spacing w:val="-43"/>
                <w:sz w:val="22"/>
                <w:szCs w:val="22"/>
                <w:highlight w:val="none"/>
              </w:rPr>
              <w:t xml:space="preserve"> </w:t>
            </w:r>
            <w:r>
              <w:rPr>
                <w:spacing w:val="-4"/>
                <w:sz w:val="22"/>
                <w:szCs w:val="22"/>
                <w:highlight w:val="none"/>
              </w:rPr>
              <w:t>元/㎡</w:t>
            </w:r>
          </w:p>
        </w:tc>
        <w:tc>
          <w:tcPr>
            <w:tcW w:w="600" w:type="dxa"/>
            <w:vAlign w:val="top"/>
          </w:tcPr>
          <w:p w14:paraId="71225460">
            <w:pPr>
              <w:rPr>
                <w:rFonts w:ascii="Arial"/>
                <w:sz w:val="21"/>
                <w:highlight w:val="none"/>
              </w:rPr>
            </w:pPr>
          </w:p>
        </w:tc>
      </w:tr>
      <w:tr w14:paraId="1C22D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41E82E56">
            <w:pPr>
              <w:rPr>
                <w:rFonts w:ascii="Arial"/>
                <w:sz w:val="21"/>
                <w:highlight w:val="none"/>
              </w:rPr>
            </w:pPr>
          </w:p>
        </w:tc>
        <w:tc>
          <w:tcPr>
            <w:tcW w:w="682" w:type="dxa"/>
            <w:vMerge w:val="continue"/>
            <w:vAlign w:val="top"/>
          </w:tcPr>
          <w:p w14:paraId="1F9C04FA">
            <w:pPr>
              <w:rPr>
                <w:rFonts w:ascii="Arial"/>
                <w:sz w:val="21"/>
                <w:highlight w:val="none"/>
              </w:rPr>
            </w:pPr>
          </w:p>
        </w:tc>
        <w:tc>
          <w:tcPr>
            <w:tcW w:w="1649" w:type="dxa"/>
            <w:vMerge w:val="restart"/>
            <w:tcBorders>
              <w:bottom w:val="nil"/>
            </w:tcBorders>
            <w:vAlign w:val="top"/>
          </w:tcPr>
          <w:p w14:paraId="31226037">
            <w:pPr>
              <w:spacing w:line="263" w:lineRule="auto"/>
              <w:rPr>
                <w:rFonts w:ascii="Arial"/>
                <w:sz w:val="21"/>
                <w:highlight w:val="none"/>
              </w:rPr>
            </w:pPr>
          </w:p>
          <w:p w14:paraId="418A5F57">
            <w:pPr>
              <w:spacing w:line="264" w:lineRule="auto"/>
              <w:rPr>
                <w:rFonts w:ascii="Arial"/>
                <w:sz w:val="21"/>
                <w:highlight w:val="none"/>
              </w:rPr>
            </w:pPr>
          </w:p>
          <w:p w14:paraId="61376ED9">
            <w:pPr>
              <w:spacing w:line="264" w:lineRule="auto"/>
              <w:rPr>
                <w:rFonts w:ascii="Arial"/>
                <w:sz w:val="21"/>
                <w:highlight w:val="none"/>
              </w:rPr>
            </w:pPr>
          </w:p>
          <w:p w14:paraId="6C8B402F">
            <w:pPr>
              <w:pStyle w:val="7"/>
              <w:spacing w:before="71" w:line="221" w:lineRule="auto"/>
              <w:ind w:left="168"/>
              <w:rPr>
                <w:sz w:val="22"/>
                <w:szCs w:val="22"/>
                <w:highlight w:val="none"/>
              </w:rPr>
            </w:pPr>
            <w:r>
              <w:rPr>
                <w:spacing w:val="-2"/>
                <w:sz w:val="22"/>
                <w:szCs w:val="22"/>
                <w:highlight w:val="none"/>
              </w:rPr>
              <w:t>铝合金推拉窗</w:t>
            </w:r>
          </w:p>
        </w:tc>
        <w:tc>
          <w:tcPr>
            <w:tcW w:w="1622" w:type="dxa"/>
            <w:vMerge w:val="restart"/>
            <w:tcBorders>
              <w:bottom w:val="nil"/>
            </w:tcBorders>
            <w:vAlign w:val="top"/>
          </w:tcPr>
          <w:p w14:paraId="4387D2BE">
            <w:pPr>
              <w:spacing w:line="304" w:lineRule="auto"/>
              <w:rPr>
                <w:rFonts w:ascii="Arial"/>
                <w:sz w:val="21"/>
                <w:highlight w:val="none"/>
              </w:rPr>
            </w:pPr>
          </w:p>
          <w:p w14:paraId="37C58F2E">
            <w:pPr>
              <w:pStyle w:val="7"/>
              <w:spacing w:before="71" w:line="222" w:lineRule="auto"/>
              <w:ind w:left="188"/>
              <w:rPr>
                <w:sz w:val="22"/>
                <w:szCs w:val="22"/>
                <w:highlight w:val="none"/>
              </w:rPr>
            </w:pPr>
            <w:r>
              <w:rPr>
                <w:spacing w:val="-3"/>
                <w:sz w:val="22"/>
                <w:szCs w:val="22"/>
                <w:highlight w:val="none"/>
              </w:rPr>
              <w:t>5+9+5</w:t>
            </w:r>
            <w:r>
              <w:rPr>
                <w:spacing w:val="-44"/>
                <w:sz w:val="22"/>
                <w:szCs w:val="22"/>
                <w:highlight w:val="none"/>
              </w:rPr>
              <w:t xml:space="preserve"> </w:t>
            </w:r>
            <w:r>
              <w:rPr>
                <w:spacing w:val="-3"/>
                <w:sz w:val="22"/>
                <w:szCs w:val="22"/>
                <w:highlight w:val="none"/>
              </w:rPr>
              <w:t>双钢化</w:t>
            </w:r>
          </w:p>
        </w:tc>
        <w:tc>
          <w:tcPr>
            <w:tcW w:w="1785" w:type="dxa"/>
            <w:vAlign w:val="top"/>
          </w:tcPr>
          <w:p w14:paraId="5863984B">
            <w:pPr>
              <w:pStyle w:val="7"/>
              <w:spacing w:before="207" w:line="220" w:lineRule="auto"/>
              <w:ind w:left="113"/>
              <w:rPr>
                <w:sz w:val="22"/>
                <w:szCs w:val="22"/>
                <w:highlight w:val="none"/>
              </w:rPr>
            </w:pPr>
            <w:r>
              <w:rPr>
                <w:spacing w:val="-3"/>
                <w:sz w:val="22"/>
                <w:szCs w:val="22"/>
                <w:highlight w:val="none"/>
              </w:rPr>
              <w:t>85</w:t>
            </w:r>
            <w:r>
              <w:rPr>
                <w:spacing w:val="-63"/>
                <w:sz w:val="22"/>
                <w:szCs w:val="22"/>
                <w:highlight w:val="none"/>
              </w:rPr>
              <w:t xml:space="preserve"> </w:t>
            </w:r>
            <w:r>
              <w:rPr>
                <w:spacing w:val="-3"/>
                <w:sz w:val="22"/>
                <w:szCs w:val="22"/>
                <w:highlight w:val="none"/>
              </w:rPr>
              <w:t>系列断桥灰色</w:t>
            </w:r>
          </w:p>
        </w:tc>
        <w:tc>
          <w:tcPr>
            <w:tcW w:w="1471" w:type="dxa"/>
            <w:vAlign w:val="top"/>
          </w:tcPr>
          <w:p w14:paraId="74C45287">
            <w:pPr>
              <w:pStyle w:val="7"/>
              <w:spacing w:before="207" w:line="221" w:lineRule="auto"/>
              <w:ind w:left="116"/>
              <w:rPr>
                <w:sz w:val="22"/>
                <w:szCs w:val="22"/>
                <w:highlight w:val="none"/>
              </w:rPr>
            </w:pPr>
            <w:r>
              <w:rPr>
                <w:spacing w:val="-3"/>
                <w:sz w:val="22"/>
                <w:szCs w:val="22"/>
                <w:highlight w:val="none"/>
              </w:rPr>
              <w:t>直接安装</w:t>
            </w:r>
          </w:p>
        </w:tc>
        <w:tc>
          <w:tcPr>
            <w:tcW w:w="1268" w:type="dxa"/>
            <w:vAlign w:val="top"/>
          </w:tcPr>
          <w:p w14:paraId="67A6A856">
            <w:pPr>
              <w:pStyle w:val="7"/>
              <w:spacing w:before="207" w:line="221" w:lineRule="auto"/>
              <w:ind w:left="179"/>
              <w:rPr>
                <w:sz w:val="22"/>
                <w:szCs w:val="22"/>
                <w:highlight w:val="none"/>
              </w:rPr>
            </w:pPr>
            <w:r>
              <w:rPr>
                <w:spacing w:val="-4"/>
                <w:sz w:val="22"/>
                <w:szCs w:val="22"/>
                <w:highlight w:val="none"/>
              </w:rPr>
              <w:t>500</w:t>
            </w:r>
            <w:r>
              <w:rPr>
                <w:spacing w:val="-45"/>
                <w:sz w:val="22"/>
                <w:szCs w:val="22"/>
                <w:highlight w:val="none"/>
              </w:rPr>
              <w:t xml:space="preserve"> </w:t>
            </w:r>
            <w:r>
              <w:rPr>
                <w:spacing w:val="-4"/>
                <w:sz w:val="22"/>
                <w:szCs w:val="22"/>
                <w:highlight w:val="none"/>
              </w:rPr>
              <w:t>元/㎡</w:t>
            </w:r>
          </w:p>
        </w:tc>
        <w:tc>
          <w:tcPr>
            <w:tcW w:w="600" w:type="dxa"/>
            <w:vAlign w:val="top"/>
          </w:tcPr>
          <w:p w14:paraId="5F9D8756">
            <w:pPr>
              <w:rPr>
                <w:rFonts w:ascii="Arial"/>
                <w:sz w:val="21"/>
                <w:highlight w:val="none"/>
              </w:rPr>
            </w:pPr>
          </w:p>
        </w:tc>
      </w:tr>
      <w:tr w14:paraId="793A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7ABA634B">
            <w:pPr>
              <w:rPr>
                <w:rFonts w:ascii="Arial"/>
                <w:sz w:val="21"/>
                <w:highlight w:val="none"/>
              </w:rPr>
            </w:pPr>
          </w:p>
        </w:tc>
        <w:tc>
          <w:tcPr>
            <w:tcW w:w="682" w:type="dxa"/>
            <w:vMerge w:val="continue"/>
            <w:vAlign w:val="top"/>
          </w:tcPr>
          <w:p w14:paraId="6947FCDF">
            <w:pPr>
              <w:rPr>
                <w:rFonts w:ascii="Arial"/>
                <w:sz w:val="21"/>
                <w:highlight w:val="none"/>
              </w:rPr>
            </w:pPr>
          </w:p>
        </w:tc>
        <w:tc>
          <w:tcPr>
            <w:tcW w:w="1649" w:type="dxa"/>
            <w:vMerge w:val="continue"/>
            <w:tcBorders>
              <w:top w:val="nil"/>
              <w:bottom w:val="nil"/>
            </w:tcBorders>
            <w:vAlign w:val="top"/>
          </w:tcPr>
          <w:p w14:paraId="629136D7">
            <w:pPr>
              <w:rPr>
                <w:rFonts w:ascii="Arial"/>
                <w:sz w:val="21"/>
                <w:highlight w:val="none"/>
              </w:rPr>
            </w:pPr>
          </w:p>
        </w:tc>
        <w:tc>
          <w:tcPr>
            <w:tcW w:w="1622" w:type="dxa"/>
            <w:vMerge w:val="continue"/>
            <w:tcBorders>
              <w:top w:val="nil"/>
            </w:tcBorders>
            <w:vAlign w:val="top"/>
          </w:tcPr>
          <w:p w14:paraId="401A703F">
            <w:pPr>
              <w:rPr>
                <w:rFonts w:ascii="Arial"/>
                <w:sz w:val="21"/>
                <w:highlight w:val="none"/>
              </w:rPr>
            </w:pPr>
          </w:p>
        </w:tc>
        <w:tc>
          <w:tcPr>
            <w:tcW w:w="1785" w:type="dxa"/>
            <w:vAlign w:val="top"/>
          </w:tcPr>
          <w:p w14:paraId="7B406D88">
            <w:pPr>
              <w:pStyle w:val="7"/>
              <w:spacing w:before="57" w:line="219" w:lineRule="auto"/>
              <w:ind w:left="118"/>
              <w:rPr>
                <w:sz w:val="22"/>
                <w:szCs w:val="22"/>
                <w:highlight w:val="none"/>
              </w:rPr>
            </w:pPr>
            <w:r>
              <w:rPr>
                <w:spacing w:val="-3"/>
                <w:sz w:val="22"/>
                <w:szCs w:val="22"/>
                <w:highlight w:val="none"/>
              </w:rPr>
              <w:t>（不含型材）</w:t>
            </w:r>
          </w:p>
        </w:tc>
        <w:tc>
          <w:tcPr>
            <w:tcW w:w="1471" w:type="dxa"/>
            <w:vAlign w:val="top"/>
          </w:tcPr>
          <w:p w14:paraId="4173A560">
            <w:pPr>
              <w:pStyle w:val="7"/>
              <w:spacing w:before="57" w:line="221" w:lineRule="auto"/>
              <w:ind w:left="116"/>
              <w:rPr>
                <w:sz w:val="22"/>
                <w:szCs w:val="22"/>
                <w:highlight w:val="none"/>
              </w:rPr>
            </w:pPr>
            <w:r>
              <w:rPr>
                <w:spacing w:val="-3"/>
                <w:sz w:val="22"/>
                <w:szCs w:val="22"/>
                <w:highlight w:val="none"/>
              </w:rPr>
              <w:t>直接安装</w:t>
            </w:r>
          </w:p>
        </w:tc>
        <w:tc>
          <w:tcPr>
            <w:tcW w:w="1268" w:type="dxa"/>
            <w:vAlign w:val="top"/>
          </w:tcPr>
          <w:p w14:paraId="23E1B2ED">
            <w:pPr>
              <w:pStyle w:val="7"/>
              <w:spacing w:before="57" w:line="221" w:lineRule="auto"/>
              <w:ind w:left="178"/>
              <w:rPr>
                <w:sz w:val="22"/>
                <w:szCs w:val="22"/>
                <w:highlight w:val="none"/>
              </w:rPr>
            </w:pPr>
            <w:r>
              <w:rPr>
                <w:spacing w:val="-4"/>
                <w:sz w:val="22"/>
                <w:szCs w:val="22"/>
                <w:highlight w:val="none"/>
              </w:rPr>
              <w:t>200</w:t>
            </w:r>
            <w:r>
              <w:rPr>
                <w:spacing w:val="-43"/>
                <w:sz w:val="22"/>
                <w:szCs w:val="22"/>
                <w:highlight w:val="none"/>
              </w:rPr>
              <w:t xml:space="preserve"> </w:t>
            </w:r>
            <w:r>
              <w:rPr>
                <w:spacing w:val="-4"/>
                <w:sz w:val="22"/>
                <w:szCs w:val="22"/>
                <w:highlight w:val="none"/>
              </w:rPr>
              <w:t>元/㎡</w:t>
            </w:r>
          </w:p>
        </w:tc>
        <w:tc>
          <w:tcPr>
            <w:tcW w:w="600" w:type="dxa"/>
            <w:vAlign w:val="top"/>
          </w:tcPr>
          <w:p w14:paraId="67A87043">
            <w:pPr>
              <w:rPr>
                <w:rFonts w:ascii="Arial"/>
                <w:sz w:val="21"/>
                <w:highlight w:val="none"/>
              </w:rPr>
            </w:pPr>
          </w:p>
        </w:tc>
      </w:tr>
      <w:tr w14:paraId="4360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2800BD90">
            <w:pPr>
              <w:rPr>
                <w:rFonts w:ascii="Arial"/>
                <w:sz w:val="21"/>
                <w:highlight w:val="none"/>
              </w:rPr>
            </w:pPr>
          </w:p>
        </w:tc>
        <w:tc>
          <w:tcPr>
            <w:tcW w:w="682" w:type="dxa"/>
            <w:vMerge w:val="continue"/>
            <w:vAlign w:val="top"/>
          </w:tcPr>
          <w:p w14:paraId="08985680">
            <w:pPr>
              <w:rPr>
                <w:rFonts w:ascii="Arial"/>
                <w:sz w:val="21"/>
                <w:highlight w:val="none"/>
              </w:rPr>
            </w:pPr>
          </w:p>
        </w:tc>
        <w:tc>
          <w:tcPr>
            <w:tcW w:w="1649" w:type="dxa"/>
            <w:vMerge w:val="continue"/>
            <w:tcBorders>
              <w:top w:val="nil"/>
              <w:bottom w:val="nil"/>
            </w:tcBorders>
            <w:vAlign w:val="top"/>
          </w:tcPr>
          <w:p w14:paraId="540742E2">
            <w:pPr>
              <w:rPr>
                <w:rFonts w:ascii="Arial"/>
                <w:sz w:val="21"/>
                <w:highlight w:val="none"/>
              </w:rPr>
            </w:pPr>
          </w:p>
        </w:tc>
        <w:tc>
          <w:tcPr>
            <w:tcW w:w="1622" w:type="dxa"/>
            <w:vMerge w:val="restart"/>
            <w:tcBorders>
              <w:bottom w:val="nil"/>
            </w:tcBorders>
            <w:vAlign w:val="top"/>
          </w:tcPr>
          <w:p w14:paraId="7502E1A0">
            <w:pPr>
              <w:pStyle w:val="7"/>
              <w:spacing w:before="236" w:line="230" w:lineRule="auto"/>
              <w:ind w:left="264" w:right="205" w:hanging="53"/>
              <w:rPr>
                <w:sz w:val="22"/>
                <w:szCs w:val="22"/>
                <w:highlight w:val="none"/>
              </w:rPr>
            </w:pPr>
            <w:r>
              <w:rPr>
                <w:spacing w:val="-1"/>
                <w:sz w:val="22"/>
                <w:szCs w:val="22"/>
                <w:highlight w:val="none"/>
              </w:rPr>
              <w:t>6low-e+9A+6</w:t>
            </w:r>
            <w:r>
              <w:rPr>
                <w:sz w:val="22"/>
                <w:szCs w:val="22"/>
                <w:highlight w:val="none"/>
              </w:rPr>
              <w:t xml:space="preserve"> </w:t>
            </w:r>
            <w:r>
              <w:rPr>
                <w:spacing w:val="-2"/>
                <w:sz w:val="22"/>
                <w:szCs w:val="22"/>
                <w:highlight w:val="none"/>
              </w:rPr>
              <w:t>双钢化玻璃</w:t>
            </w:r>
          </w:p>
        </w:tc>
        <w:tc>
          <w:tcPr>
            <w:tcW w:w="1785" w:type="dxa"/>
            <w:vAlign w:val="top"/>
          </w:tcPr>
          <w:p w14:paraId="08ECBAC4">
            <w:pPr>
              <w:pStyle w:val="7"/>
              <w:spacing w:before="209" w:line="220" w:lineRule="auto"/>
              <w:ind w:left="113"/>
              <w:rPr>
                <w:sz w:val="22"/>
                <w:szCs w:val="22"/>
                <w:highlight w:val="none"/>
              </w:rPr>
            </w:pPr>
            <w:r>
              <w:rPr>
                <w:spacing w:val="-3"/>
                <w:sz w:val="22"/>
                <w:szCs w:val="22"/>
                <w:highlight w:val="none"/>
              </w:rPr>
              <w:t>85</w:t>
            </w:r>
            <w:r>
              <w:rPr>
                <w:spacing w:val="-63"/>
                <w:sz w:val="22"/>
                <w:szCs w:val="22"/>
                <w:highlight w:val="none"/>
              </w:rPr>
              <w:t xml:space="preserve"> </w:t>
            </w:r>
            <w:r>
              <w:rPr>
                <w:spacing w:val="-3"/>
                <w:sz w:val="22"/>
                <w:szCs w:val="22"/>
                <w:highlight w:val="none"/>
              </w:rPr>
              <w:t>系列断桥灰色</w:t>
            </w:r>
          </w:p>
        </w:tc>
        <w:tc>
          <w:tcPr>
            <w:tcW w:w="1471" w:type="dxa"/>
            <w:vAlign w:val="top"/>
          </w:tcPr>
          <w:p w14:paraId="145488CE">
            <w:pPr>
              <w:pStyle w:val="7"/>
              <w:spacing w:before="209" w:line="221" w:lineRule="auto"/>
              <w:ind w:left="116"/>
              <w:rPr>
                <w:sz w:val="22"/>
                <w:szCs w:val="22"/>
                <w:highlight w:val="none"/>
              </w:rPr>
            </w:pPr>
            <w:r>
              <w:rPr>
                <w:spacing w:val="-3"/>
                <w:sz w:val="22"/>
                <w:szCs w:val="22"/>
                <w:highlight w:val="none"/>
              </w:rPr>
              <w:t>直接安装</w:t>
            </w:r>
          </w:p>
        </w:tc>
        <w:tc>
          <w:tcPr>
            <w:tcW w:w="1268" w:type="dxa"/>
            <w:vAlign w:val="top"/>
          </w:tcPr>
          <w:p w14:paraId="3FA44A06">
            <w:pPr>
              <w:pStyle w:val="7"/>
              <w:spacing w:before="209" w:line="221" w:lineRule="auto"/>
              <w:ind w:left="179"/>
              <w:rPr>
                <w:sz w:val="22"/>
                <w:szCs w:val="22"/>
                <w:highlight w:val="none"/>
              </w:rPr>
            </w:pPr>
            <w:r>
              <w:rPr>
                <w:spacing w:val="-4"/>
                <w:sz w:val="22"/>
                <w:szCs w:val="22"/>
                <w:highlight w:val="none"/>
              </w:rPr>
              <w:t>500</w:t>
            </w:r>
            <w:r>
              <w:rPr>
                <w:spacing w:val="-45"/>
                <w:sz w:val="22"/>
                <w:szCs w:val="22"/>
                <w:highlight w:val="none"/>
              </w:rPr>
              <w:t xml:space="preserve"> </w:t>
            </w:r>
            <w:r>
              <w:rPr>
                <w:spacing w:val="-4"/>
                <w:sz w:val="22"/>
                <w:szCs w:val="22"/>
                <w:highlight w:val="none"/>
              </w:rPr>
              <w:t>元/㎡</w:t>
            </w:r>
          </w:p>
        </w:tc>
        <w:tc>
          <w:tcPr>
            <w:tcW w:w="600" w:type="dxa"/>
            <w:vAlign w:val="top"/>
          </w:tcPr>
          <w:p w14:paraId="4F1B3027">
            <w:pPr>
              <w:rPr>
                <w:rFonts w:ascii="Arial"/>
                <w:sz w:val="21"/>
                <w:highlight w:val="none"/>
              </w:rPr>
            </w:pPr>
          </w:p>
        </w:tc>
      </w:tr>
      <w:tr w14:paraId="6C97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3AA370F4">
            <w:pPr>
              <w:rPr>
                <w:rFonts w:ascii="Arial"/>
                <w:sz w:val="21"/>
                <w:highlight w:val="none"/>
              </w:rPr>
            </w:pPr>
          </w:p>
        </w:tc>
        <w:tc>
          <w:tcPr>
            <w:tcW w:w="682" w:type="dxa"/>
            <w:vMerge w:val="continue"/>
            <w:vAlign w:val="top"/>
          </w:tcPr>
          <w:p w14:paraId="3393C5F1">
            <w:pPr>
              <w:rPr>
                <w:rFonts w:ascii="Arial"/>
                <w:sz w:val="21"/>
                <w:highlight w:val="none"/>
              </w:rPr>
            </w:pPr>
          </w:p>
        </w:tc>
        <w:tc>
          <w:tcPr>
            <w:tcW w:w="1649" w:type="dxa"/>
            <w:vMerge w:val="continue"/>
            <w:tcBorders>
              <w:top w:val="nil"/>
            </w:tcBorders>
            <w:vAlign w:val="top"/>
          </w:tcPr>
          <w:p w14:paraId="3BEDBD87">
            <w:pPr>
              <w:rPr>
                <w:rFonts w:ascii="Arial"/>
                <w:sz w:val="21"/>
                <w:highlight w:val="none"/>
              </w:rPr>
            </w:pPr>
          </w:p>
        </w:tc>
        <w:tc>
          <w:tcPr>
            <w:tcW w:w="1622" w:type="dxa"/>
            <w:vMerge w:val="continue"/>
            <w:tcBorders>
              <w:top w:val="nil"/>
            </w:tcBorders>
            <w:vAlign w:val="top"/>
          </w:tcPr>
          <w:p w14:paraId="1344F37F">
            <w:pPr>
              <w:rPr>
                <w:rFonts w:ascii="Arial"/>
                <w:sz w:val="21"/>
                <w:highlight w:val="none"/>
              </w:rPr>
            </w:pPr>
          </w:p>
        </w:tc>
        <w:tc>
          <w:tcPr>
            <w:tcW w:w="1785" w:type="dxa"/>
            <w:vAlign w:val="top"/>
          </w:tcPr>
          <w:p w14:paraId="507DAA3C">
            <w:pPr>
              <w:pStyle w:val="7"/>
              <w:spacing w:before="59" w:line="219" w:lineRule="auto"/>
              <w:ind w:left="118"/>
              <w:rPr>
                <w:sz w:val="22"/>
                <w:szCs w:val="22"/>
                <w:highlight w:val="none"/>
              </w:rPr>
            </w:pPr>
            <w:r>
              <w:rPr>
                <w:spacing w:val="-3"/>
                <w:sz w:val="22"/>
                <w:szCs w:val="22"/>
                <w:highlight w:val="none"/>
              </w:rPr>
              <w:t>（不含型材）</w:t>
            </w:r>
          </w:p>
        </w:tc>
        <w:tc>
          <w:tcPr>
            <w:tcW w:w="1471" w:type="dxa"/>
            <w:vAlign w:val="top"/>
          </w:tcPr>
          <w:p w14:paraId="3C390FE3">
            <w:pPr>
              <w:pStyle w:val="7"/>
              <w:spacing w:before="58" w:line="221" w:lineRule="auto"/>
              <w:ind w:left="116"/>
              <w:rPr>
                <w:sz w:val="22"/>
                <w:szCs w:val="22"/>
                <w:highlight w:val="none"/>
              </w:rPr>
            </w:pPr>
            <w:r>
              <w:rPr>
                <w:spacing w:val="-3"/>
                <w:sz w:val="22"/>
                <w:szCs w:val="22"/>
                <w:highlight w:val="none"/>
              </w:rPr>
              <w:t>直接安装</w:t>
            </w:r>
          </w:p>
        </w:tc>
        <w:tc>
          <w:tcPr>
            <w:tcW w:w="1268" w:type="dxa"/>
            <w:vAlign w:val="top"/>
          </w:tcPr>
          <w:p w14:paraId="1E74844B">
            <w:pPr>
              <w:pStyle w:val="7"/>
              <w:spacing w:before="58" w:line="221" w:lineRule="auto"/>
              <w:ind w:left="178"/>
              <w:rPr>
                <w:sz w:val="22"/>
                <w:szCs w:val="22"/>
                <w:highlight w:val="none"/>
              </w:rPr>
            </w:pPr>
            <w:r>
              <w:rPr>
                <w:spacing w:val="-4"/>
                <w:sz w:val="22"/>
                <w:szCs w:val="22"/>
                <w:highlight w:val="none"/>
              </w:rPr>
              <w:t>260</w:t>
            </w:r>
            <w:r>
              <w:rPr>
                <w:spacing w:val="-43"/>
                <w:sz w:val="22"/>
                <w:szCs w:val="22"/>
                <w:highlight w:val="none"/>
              </w:rPr>
              <w:t xml:space="preserve"> </w:t>
            </w:r>
            <w:r>
              <w:rPr>
                <w:spacing w:val="-4"/>
                <w:sz w:val="22"/>
                <w:szCs w:val="22"/>
                <w:highlight w:val="none"/>
              </w:rPr>
              <w:t>元/㎡</w:t>
            </w:r>
          </w:p>
        </w:tc>
        <w:tc>
          <w:tcPr>
            <w:tcW w:w="600" w:type="dxa"/>
            <w:vAlign w:val="top"/>
          </w:tcPr>
          <w:p w14:paraId="0F426252">
            <w:pPr>
              <w:rPr>
                <w:rFonts w:ascii="Arial"/>
                <w:sz w:val="21"/>
                <w:highlight w:val="none"/>
              </w:rPr>
            </w:pPr>
          </w:p>
        </w:tc>
      </w:tr>
      <w:tr w14:paraId="7C257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0A4BB084">
            <w:pPr>
              <w:rPr>
                <w:rFonts w:ascii="Arial"/>
                <w:sz w:val="21"/>
                <w:highlight w:val="none"/>
              </w:rPr>
            </w:pPr>
          </w:p>
        </w:tc>
        <w:tc>
          <w:tcPr>
            <w:tcW w:w="682" w:type="dxa"/>
            <w:vMerge w:val="continue"/>
            <w:vAlign w:val="top"/>
          </w:tcPr>
          <w:p w14:paraId="7634DB33">
            <w:pPr>
              <w:rPr>
                <w:rFonts w:ascii="Arial"/>
                <w:sz w:val="21"/>
                <w:highlight w:val="none"/>
              </w:rPr>
            </w:pPr>
          </w:p>
        </w:tc>
        <w:tc>
          <w:tcPr>
            <w:tcW w:w="1649" w:type="dxa"/>
            <w:vMerge w:val="restart"/>
            <w:tcBorders>
              <w:bottom w:val="nil"/>
            </w:tcBorders>
            <w:vAlign w:val="top"/>
          </w:tcPr>
          <w:p w14:paraId="3799EDA9">
            <w:pPr>
              <w:pStyle w:val="7"/>
              <w:spacing w:before="227" w:line="221" w:lineRule="auto"/>
              <w:ind w:left="282"/>
              <w:rPr>
                <w:sz w:val="22"/>
                <w:szCs w:val="22"/>
                <w:highlight w:val="none"/>
              </w:rPr>
            </w:pPr>
            <w:r>
              <w:rPr>
                <w:spacing w:val="-3"/>
                <w:sz w:val="22"/>
                <w:szCs w:val="22"/>
                <w:highlight w:val="none"/>
              </w:rPr>
              <w:t>塑钢推拉窗</w:t>
            </w:r>
          </w:p>
        </w:tc>
        <w:tc>
          <w:tcPr>
            <w:tcW w:w="1622" w:type="dxa"/>
            <w:vMerge w:val="restart"/>
            <w:tcBorders>
              <w:bottom w:val="nil"/>
            </w:tcBorders>
            <w:vAlign w:val="top"/>
          </w:tcPr>
          <w:p w14:paraId="5D7EFB33">
            <w:pPr>
              <w:pStyle w:val="7"/>
              <w:spacing w:before="227" w:line="222" w:lineRule="auto"/>
              <w:ind w:left="188"/>
              <w:rPr>
                <w:sz w:val="22"/>
                <w:szCs w:val="22"/>
                <w:highlight w:val="none"/>
              </w:rPr>
            </w:pPr>
            <w:r>
              <w:rPr>
                <w:spacing w:val="-3"/>
                <w:sz w:val="22"/>
                <w:szCs w:val="22"/>
                <w:highlight w:val="none"/>
              </w:rPr>
              <w:t>5+9+5</w:t>
            </w:r>
            <w:r>
              <w:rPr>
                <w:spacing w:val="-44"/>
                <w:sz w:val="22"/>
                <w:szCs w:val="22"/>
                <w:highlight w:val="none"/>
              </w:rPr>
              <w:t xml:space="preserve"> </w:t>
            </w:r>
            <w:r>
              <w:rPr>
                <w:spacing w:val="-3"/>
                <w:sz w:val="22"/>
                <w:szCs w:val="22"/>
                <w:highlight w:val="none"/>
              </w:rPr>
              <w:t>双钢化</w:t>
            </w:r>
          </w:p>
        </w:tc>
        <w:tc>
          <w:tcPr>
            <w:tcW w:w="1785" w:type="dxa"/>
            <w:vAlign w:val="top"/>
          </w:tcPr>
          <w:p w14:paraId="367F1BC6">
            <w:pPr>
              <w:pStyle w:val="7"/>
              <w:spacing w:before="57" w:line="222" w:lineRule="auto"/>
              <w:ind w:left="113"/>
              <w:rPr>
                <w:sz w:val="22"/>
                <w:szCs w:val="22"/>
                <w:highlight w:val="none"/>
              </w:rPr>
            </w:pPr>
            <w:r>
              <w:rPr>
                <w:spacing w:val="-5"/>
                <w:sz w:val="22"/>
                <w:szCs w:val="22"/>
                <w:highlight w:val="none"/>
              </w:rPr>
              <w:t>60</w:t>
            </w:r>
            <w:r>
              <w:rPr>
                <w:spacing w:val="-39"/>
                <w:sz w:val="22"/>
                <w:szCs w:val="22"/>
                <w:highlight w:val="none"/>
              </w:rPr>
              <w:t xml:space="preserve"> </w:t>
            </w:r>
            <w:r>
              <w:rPr>
                <w:spacing w:val="-5"/>
                <w:sz w:val="22"/>
                <w:szCs w:val="22"/>
                <w:highlight w:val="none"/>
              </w:rPr>
              <w:t>系白色</w:t>
            </w:r>
          </w:p>
        </w:tc>
        <w:tc>
          <w:tcPr>
            <w:tcW w:w="1471" w:type="dxa"/>
            <w:vAlign w:val="top"/>
          </w:tcPr>
          <w:p w14:paraId="1B876721">
            <w:pPr>
              <w:pStyle w:val="7"/>
              <w:spacing w:before="57" w:line="221" w:lineRule="auto"/>
              <w:ind w:left="116"/>
              <w:rPr>
                <w:sz w:val="22"/>
                <w:szCs w:val="22"/>
                <w:highlight w:val="none"/>
              </w:rPr>
            </w:pPr>
            <w:r>
              <w:rPr>
                <w:spacing w:val="-3"/>
                <w:sz w:val="22"/>
                <w:szCs w:val="22"/>
                <w:highlight w:val="none"/>
              </w:rPr>
              <w:t>直接安装</w:t>
            </w:r>
          </w:p>
        </w:tc>
        <w:tc>
          <w:tcPr>
            <w:tcW w:w="1268" w:type="dxa"/>
            <w:vAlign w:val="top"/>
          </w:tcPr>
          <w:p w14:paraId="55C7B763">
            <w:pPr>
              <w:pStyle w:val="7"/>
              <w:spacing w:before="57" w:line="221" w:lineRule="auto"/>
              <w:ind w:left="178"/>
              <w:rPr>
                <w:sz w:val="22"/>
                <w:szCs w:val="22"/>
                <w:highlight w:val="none"/>
              </w:rPr>
            </w:pPr>
            <w:r>
              <w:rPr>
                <w:spacing w:val="-4"/>
                <w:sz w:val="22"/>
                <w:szCs w:val="22"/>
                <w:highlight w:val="none"/>
              </w:rPr>
              <w:t>240</w:t>
            </w:r>
            <w:r>
              <w:rPr>
                <w:spacing w:val="-43"/>
                <w:sz w:val="22"/>
                <w:szCs w:val="22"/>
                <w:highlight w:val="none"/>
              </w:rPr>
              <w:t xml:space="preserve"> </w:t>
            </w:r>
            <w:r>
              <w:rPr>
                <w:spacing w:val="-4"/>
                <w:sz w:val="22"/>
                <w:szCs w:val="22"/>
                <w:highlight w:val="none"/>
              </w:rPr>
              <w:t>元/㎡</w:t>
            </w:r>
          </w:p>
        </w:tc>
        <w:tc>
          <w:tcPr>
            <w:tcW w:w="600" w:type="dxa"/>
            <w:vAlign w:val="top"/>
          </w:tcPr>
          <w:p w14:paraId="0A9CC834">
            <w:pPr>
              <w:rPr>
                <w:rFonts w:ascii="Arial"/>
                <w:sz w:val="21"/>
                <w:highlight w:val="none"/>
              </w:rPr>
            </w:pPr>
          </w:p>
        </w:tc>
      </w:tr>
      <w:tr w14:paraId="1DA5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9" w:type="dxa"/>
            <w:vMerge w:val="continue"/>
            <w:vAlign w:val="top"/>
          </w:tcPr>
          <w:p w14:paraId="09B3049C">
            <w:pPr>
              <w:rPr>
                <w:rFonts w:ascii="Arial"/>
                <w:sz w:val="21"/>
                <w:highlight w:val="none"/>
              </w:rPr>
            </w:pPr>
          </w:p>
        </w:tc>
        <w:tc>
          <w:tcPr>
            <w:tcW w:w="682" w:type="dxa"/>
            <w:vMerge w:val="continue"/>
            <w:vAlign w:val="top"/>
          </w:tcPr>
          <w:p w14:paraId="1AC67CFE">
            <w:pPr>
              <w:rPr>
                <w:rFonts w:ascii="Arial"/>
                <w:sz w:val="21"/>
                <w:highlight w:val="none"/>
              </w:rPr>
            </w:pPr>
          </w:p>
        </w:tc>
        <w:tc>
          <w:tcPr>
            <w:tcW w:w="1649" w:type="dxa"/>
            <w:vMerge w:val="continue"/>
            <w:tcBorders>
              <w:top w:val="nil"/>
            </w:tcBorders>
            <w:vAlign w:val="top"/>
          </w:tcPr>
          <w:p w14:paraId="79A9435B">
            <w:pPr>
              <w:rPr>
                <w:rFonts w:ascii="Arial"/>
                <w:sz w:val="21"/>
                <w:highlight w:val="none"/>
              </w:rPr>
            </w:pPr>
          </w:p>
        </w:tc>
        <w:tc>
          <w:tcPr>
            <w:tcW w:w="1622" w:type="dxa"/>
            <w:vMerge w:val="continue"/>
            <w:tcBorders>
              <w:top w:val="nil"/>
            </w:tcBorders>
            <w:vAlign w:val="top"/>
          </w:tcPr>
          <w:p w14:paraId="009BD5E9">
            <w:pPr>
              <w:rPr>
                <w:rFonts w:ascii="Arial"/>
                <w:sz w:val="21"/>
                <w:highlight w:val="none"/>
              </w:rPr>
            </w:pPr>
          </w:p>
        </w:tc>
        <w:tc>
          <w:tcPr>
            <w:tcW w:w="1785" w:type="dxa"/>
            <w:vAlign w:val="top"/>
          </w:tcPr>
          <w:p w14:paraId="314ED41E">
            <w:pPr>
              <w:pStyle w:val="7"/>
              <w:spacing w:before="58" w:line="219" w:lineRule="auto"/>
              <w:ind w:left="118"/>
              <w:rPr>
                <w:sz w:val="22"/>
                <w:szCs w:val="22"/>
                <w:highlight w:val="none"/>
              </w:rPr>
            </w:pPr>
            <w:r>
              <w:rPr>
                <w:spacing w:val="-3"/>
                <w:sz w:val="22"/>
                <w:szCs w:val="22"/>
                <w:highlight w:val="none"/>
              </w:rPr>
              <w:t>（不含型材）</w:t>
            </w:r>
          </w:p>
        </w:tc>
        <w:tc>
          <w:tcPr>
            <w:tcW w:w="1471" w:type="dxa"/>
            <w:vAlign w:val="top"/>
          </w:tcPr>
          <w:p w14:paraId="655D1E0F">
            <w:pPr>
              <w:pStyle w:val="7"/>
              <w:spacing w:before="57" w:line="221" w:lineRule="auto"/>
              <w:ind w:left="116"/>
              <w:rPr>
                <w:sz w:val="22"/>
                <w:szCs w:val="22"/>
                <w:highlight w:val="none"/>
              </w:rPr>
            </w:pPr>
            <w:r>
              <w:rPr>
                <w:spacing w:val="-3"/>
                <w:sz w:val="22"/>
                <w:szCs w:val="22"/>
                <w:highlight w:val="none"/>
              </w:rPr>
              <w:t>直接安装</w:t>
            </w:r>
          </w:p>
        </w:tc>
        <w:tc>
          <w:tcPr>
            <w:tcW w:w="1268" w:type="dxa"/>
            <w:vAlign w:val="top"/>
          </w:tcPr>
          <w:p w14:paraId="2E114F1F">
            <w:pPr>
              <w:pStyle w:val="7"/>
              <w:spacing w:before="57" w:line="221" w:lineRule="auto"/>
              <w:ind w:left="191"/>
              <w:rPr>
                <w:sz w:val="22"/>
                <w:szCs w:val="22"/>
                <w:highlight w:val="none"/>
              </w:rPr>
            </w:pPr>
            <w:r>
              <w:rPr>
                <w:spacing w:val="-6"/>
                <w:sz w:val="22"/>
                <w:szCs w:val="22"/>
                <w:highlight w:val="none"/>
              </w:rPr>
              <w:t>180</w:t>
            </w:r>
            <w:r>
              <w:rPr>
                <w:spacing w:val="-45"/>
                <w:sz w:val="22"/>
                <w:szCs w:val="22"/>
                <w:highlight w:val="none"/>
              </w:rPr>
              <w:t xml:space="preserve"> </w:t>
            </w:r>
            <w:r>
              <w:rPr>
                <w:spacing w:val="-6"/>
                <w:sz w:val="22"/>
                <w:szCs w:val="22"/>
                <w:highlight w:val="none"/>
              </w:rPr>
              <w:t>元/㎡</w:t>
            </w:r>
          </w:p>
        </w:tc>
        <w:tc>
          <w:tcPr>
            <w:tcW w:w="600" w:type="dxa"/>
            <w:vAlign w:val="top"/>
          </w:tcPr>
          <w:p w14:paraId="6E1B195F">
            <w:pPr>
              <w:rPr>
                <w:rFonts w:ascii="Arial"/>
                <w:sz w:val="21"/>
                <w:highlight w:val="none"/>
              </w:rPr>
            </w:pPr>
          </w:p>
        </w:tc>
      </w:tr>
      <w:tr w14:paraId="5C2A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06E4BB3E">
            <w:pPr>
              <w:rPr>
                <w:rFonts w:ascii="Arial"/>
                <w:sz w:val="21"/>
                <w:highlight w:val="none"/>
              </w:rPr>
            </w:pPr>
          </w:p>
        </w:tc>
        <w:tc>
          <w:tcPr>
            <w:tcW w:w="682" w:type="dxa"/>
            <w:vMerge w:val="continue"/>
            <w:vAlign w:val="top"/>
          </w:tcPr>
          <w:p w14:paraId="3C5F3ECE">
            <w:pPr>
              <w:rPr>
                <w:rFonts w:ascii="Arial"/>
                <w:sz w:val="21"/>
                <w:highlight w:val="none"/>
              </w:rPr>
            </w:pPr>
          </w:p>
        </w:tc>
        <w:tc>
          <w:tcPr>
            <w:tcW w:w="1649" w:type="dxa"/>
            <w:vAlign w:val="top"/>
          </w:tcPr>
          <w:p w14:paraId="4151B528">
            <w:pPr>
              <w:pStyle w:val="7"/>
              <w:spacing w:before="207" w:line="221" w:lineRule="auto"/>
              <w:ind w:left="123"/>
              <w:rPr>
                <w:sz w:val="22"/>
                <w:szCs w:val="22"/>
                <w:highlight w:val="none"/>
              </w:rPr>
            </w:pPr>
            <w:r>
              <w:rPr>
                <w:spacing w:val="-4"/>
                <w:sz w:val="22"/>
                <w:szCs w:val="22"/>
                <w:highlight w:val="none"/>
              </w:rPr>
              <w:t>窗合页安装</w:t>
            </w:r>
          </w:p>
        </w:tc>
        <w:tc>
          <w:tcPr>
            <w:tcW w:w="1622" w:type="dxa"/>
            <w:vAlign w:val="top"/>
          </w:tcPr>
          <w:p w14:paraId="6F933489">
            <w:pPr>
              <w:pStyle w:val="7"/>
              <w:spacing w:before="207" w:line="225" w:lineRule="auto"/>
              <w:ind w:left="758"/>
              <w:rPr>
                <w:sz w:val="22"/>
                <w:szCs w:val="22"/>
                <w:highlight w:val="none"/>
              </w:rPr>
            </w:pPr>
            <w:r>
              <w:rPr>
                <w:sz w:val="22"/>
                <w:szCs w:val="22"/>
                <w:highlight w:val="none"/>
              </w:rPr>
              <w:t>/</w:t>
            </w:r>
          </w:p>
        </w:tc>
        <w:tc>
          <w:tcPr>
            <w:tcW w:w="1785" w:type="dxa"/>
            <w:vAlign w:val="top"/>
          </w:tcPr>
          <w:p w14:paraId="5701AFD0">
            <w:pPr>
              <w:pStyle w:val="7"/>
              <w:spacing w:before="207" w:line="225" w:lineRule="auto"/>
              <w:ind w:left="843"/>
              <w:rPr>
                <w:sz w:val="22"/>
                <w:szCs w:val="22"/>
                <w:highlight w:val="none"/>
              </w:rPr>
            </w:pPr>
            <w:r>
              <w:rPr>
                <w:sz w:val="22"/>
                <w:szCs w:val="22"/>
                <w:highlight w:val="none"/>
              </w:rPr>
              <w:t>/</w:t>
            </w:r>
          </w:p>
        </w:tc>
        <w:tc>
          <w:tcPr>
            <w:tcW w:w="1471" w:type="dxa"/>
            <w:vAlign w:val="top"/>
          </w:tcPr>
          <w:p w14:paraId="31D4100D">
            <w:pPr>
              <w:pStyle w:val="7"/>
              <w:spacing w:before="207" w:line="225" w:lineRule="auto"/>
              <w:ind w:left="685"/>
              <w:rPr>
                <w:sz w:val="22"/>
                <w:szCs w:val="22"/>
                <w:highlight w:val="none"/>
              </w:rPr>
            </w:pPr>
            <w:r>
              <w:rPr>
                <w:sz w:val="22"/>
                <w:szCs w:val="22"/>
                <w:highlight w:val="none"/>
              </w:rPr>
              <w:t>/</w:t>
            </w:r>
          </w:p>
        </w:tc>
        <w:tc>
          <w:tcPr>
            <w:tcW w:w="1268" w:type="dxa"/>
            <w:vAlign w:val="top"/>
          </w:tcPr>
          <w:p w14:paraId="124661AF">
            <w:pPr>
              <w:pStyle w:val="7"/>
              <w:spacing w:before="207" w:line="220" w:lineRule="auto"/>
              <w:ind w:left="232"/>
              <w:rPr>
                <w:sz w:val="22"/>
                <w:szCs w:val="22"/>
                <w:highlight w:val="none"/>
              </w:rPr>
            </w:pPr>
            <w:r>
              <w:rPr>
                <w:spacing w:val="-5"/>
                <w:sz w:val="22"/>
                <w:szCs w:val="22"/>
                <w:highlight w:val="none"/>
              </w:rPr>
              <w:t>50</w:t>
            </w:r>
            <w:r>
              <w:rPr>
                <w:spacing w:val="-41"/>
                <w:sz w:val="22"/>
                <w:szCs w:val="22"/>
                <w:highlight w:val="none"/>
              </w:rPr>
              <w:t xml:space="preserve"> </w:t>
            </w:r>
            <w:r>
              <w:rPr>
                <w:spacing w:val="-5"/>
                <w:sz w:val="22"/>
                <w:szCs w:val="22"/>
                <w:highlight w:val="none"/>
              </w:rPr>
              <w:t>元/个</w:t>
            </w:r>
          </w:p>
        </w:tc>
        <w:tc>
          <w:tcPr>
            <w:tcW w:w="600" w:type="dxa"/>
            <w:vAlign w:val="top"/>
          </w:tcPr>
          <w:p w14:paraId="6CD7A114">
            <w:pPr>
              <w:rPr>
                <w:rFonts w:ascii="Arial"/>
                <w:sz w:val="21"/>
                <w:highlight w:val="none"/>
              </w:rPr>
            </w:pPr>
          </w:p>
        </w:tc>
      </w:tr>
      <w:tr w14:paraId="6768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9" w:type="dxa"/>
            <w:vMerge w:val="continue"/>
            <w:vAlign w:val="top"/>
          </w:tcPr>
          <w:p w14:paraId="6BD102D6">
            <w:pPr>
              <w:rPr>
                <w:rFonts w:ascii="Arial"/>
                <w:sz w:val="21"/>
                <w:highlight w:val="none"/>
              </w:rPr>
            </w:pPr>
          </w:p>
        </w:tc>
        <w:tc>
          <w:tcPr>
            <w:tcW w:w="682" w:type="dxa"/>
            <w:vMerge w:val="continue"/>
            <w:vAlign w:val="top"/>
          </w:tcPr>
          <w:p w14:paraId="075C57C4">
            <w:pPr>
              <w:rPr>
                <w:rFonts w:ascii="Arial"/>
                <w:sz w:val="21"/>
                <w:highlight w:val="none"/>
              </w:rPr>
            </w:pPr>
          </w:p>
        </w:tc>
        <w:tc>
          <w:tcPr>
            <w:tcW w:w="1649" w:type="dxa"/>
            <w:vAlign w:val="top"/>
          </w:tcPr>
          <w:p w14:paraId="03605006">
            <w:pPr>
              <w:pStyle w:val="7"/>
              <w:spacing w:before="208" w:line="221" w:lineRule="auto"/>
              <w:ind w:left="136"/>
              <w:rPr>
                <w:sz w:val="22"/>
                <w:szCs w:val="22"/>
                <w:highlight w:val="none"/>
              </w:rPr>
            </w:pPr>
            <w:r>
              <w:rPr>
                <w:spacing w:val="-7"/>
                <w:sz w:val="22"/>
                <w:szCs w:val="22"/>
                <w:highlight w:val="none"/>
              </w:rPr>
              <w:t>门合页安装</w:t>
            </w:r>
          </w:p>
        </w:tc>
        <w:tc>
          <w:tcPr>
            <w:tcW w:w="1622" w:type="dxa"/>
            <w:vAlign w:val="top"/>
          </w:tcPr>
          <w:p w14:paraId="47D7D763">
            <w:pPr>
              <w:pStyle w:val="7"/>
              <w:spacing w:before="208" w:line="225" w:lineRule="auto"/>
              <w:ind w:left="758"/>
              <w:rPr>
                <w:sz w:val="22"/>
                <w:szCs w:val="22"/>
                <w:highlight w:val="none"/>
              </w:rPr>
            </w:pPr>
            <w:r>
              <w:rPr>
                <w:sz w:val="22"/>
                <w:szCs w:val="22"/>
                <w:highlight w:val="none"/>
              </w:rPr>
              <w:t>/</w:t>
            </w:r>
          </w:p>
        </w:tc>
        <w:tc>
          <w:tcPr>
            <w:tcW w:w="1785" w:type="dxa"/>
            <w:vAlign w:val="top"/>
          </w:tcPr>
          <w:p w14:paraId="13665763">
            <w:pPr>
              <w:pStyle w:val="7"/>
              <w:spacing w:before="208" w:line="225" w:lineRule="auto"/>
              <w:ind w:left="843"/>
              <w:rPr>
                <w:sz w:val="22"/>
                <w:szCs w:val="22"/>
                <w:highlight w:val="none"/>
              </w:rPr>
            </w:pPr>
            <w:r>
              <w:rPr>
                <w:sz w:val="22"/>
                <w:szCs w:val="22"/>
                <w:highlight w:val="none"/>
              </w:rPr>
              <w:t>/</w:t>
            </w:r>
          </w:p>
        </w:tc>
        <w:tc>
          <w:tcPr>
            <w:tcW w:w="1471" w:type="dxa"/>
            <w:vAlign w:val="top"/>
          </w:tcPr>
          <w:p w14:paraId="59D676FE">
            <w:pPr>
              <w:pStyle w:val="7"/>
              <w:spacing w:before="208" w:line="225" w:lineRule="auto"/>
              <w:ind w:left="685"/>
              <w:rPr>
                <w:sz w:val="22"/>
                <w:szCs w:val="22"/>
                <w:highlight w:val="none"/>
              </w:rPr>
            </w:pPr>
            <w:r>
              <w:rPr>
                <w:sz w:val="22"/>
                <w:szCs w:val="22"/>
                <w:highlight w:val="none"/>
              </w:rPr>
              <w:t>/</w:t>
            </w:r>
          </w:p>
        </w:tc>
        <w:tc>
          <w:tcPr>
            <w:tcW w:w="1268" w:type="dxa"/>
            <w:vAlign w:val="top"/>
          </w:tcPr>
          <w:p w14:paraId="2A649767">
            <w:pPr>
              <w:pStyle w:val="7"/>
              <w:spacing w:before="208" w:line="220" w:lineRule="auto"/>
              <w:ind w:left="229"/>
              <w:rPr>
                <w:sz w:val="22"/>
                <w:szCs w:val="22"/>
                <w:highlight w:val="none"/>
              </w:rPr>
            </w:pPr>
            <w:r>
              <w:rPr>
                <w:spacing w:val="-4"/>
                <w:sz w:val="22"/>
                <w:szCs w:val="22"/>
                <w:highlight w:val="none"/>
              </w:rPr>
              <w:t>60</w:t>
            </w:r>
            <w:r>
              <w:rPr>
                <w:spacing w:val="-44"/>
                <w:sz w:val="22"/>
                <w:szCs w:val="22"/>
                <w:highlight w:val="none"/>
              </w:rPr>
              <w:t xml:space="preserve"> </w:t>
            </w:r>
            <w:r>
              <w:rPr>
                <w:spacing w:val="-4"/>
                <w:sz w:val="22"/>
                <w:szCs w:val="22"/>
                <w:highlight w:val="none"/>
              </w:rPr>
              <w:t>元/个</w:t>
            </w:r>
          </w:p>
        </w:tc>
        <w:tc>
          <w:tcPr>
            <w:tcW w:w="600" w:type="dxa"/>
            <w:vAlign w:val="top"/>
          </w:tcPr>
          <w:p w14:paraId="18BA717E">
            <w:pPr>
              <w:rPr>
                <w:rFonts w:ascii="Arial"/>
                <w:sz w:val="21"/>
                <w:highlight w:val="none"/>
              </w:rPr>
            </w:pPr>
          </w:p>
        </w:tc>
      </w:tr>
      <w:tr w14:paraId="1356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9" w:type="dxa"/>
            <w:vMerge w:val="continue"/>
            <w:vAlign w:val="top"/>
          </w:tcPr>
          <w:p w14:paraId="297AEA0C">
            <w:pPr>
              <w:rPr>
                <w:rFonts w:ascii="Arial"/>
                <w:sz w:val="21"/>
                <w:highlight w:val="none"/>
              </w:rPr>
            </w:pPr>
          </w:p>
        </w:tc>
        <w:tc>
          <w:tcPr>
            <w:tcW w:w="682" w:type="dxa"/>
            <w:vMerge w:val="continue"/>
            <w:vAlign w:val="top"/>
          </w:tcPr>
          <w:p w14:paraId="35C4058E">
            <w:pPr>
              <w:rPr>
                <w:rFonts w:ascii="Arial"/>
                <w:sz w:val="21"/>
                <w:highlight w:val="none"/>
              </w:rPr>
            </w:pPr>
          </w:p>
        </w:tc>
        <w:tc>
          <w:tcPr>
            <w:tcW w:w="1649" w:type="dxa"/>
            <w:vAlign w:val="top"/>
          </w:tcPr>
          <w:p w14:paraId="7FB497AB">
            <w:pPr>
              <w:pStyle w:val="7"/>
              <w:spacing w:before="221" w:line="229" w:lineRule="auto"/>
              <w:ind w:left="112" w:right="220" w:firstLine="11"/>
              <w:rPr>
                <w:sz w:val="22"/>
                <w:szCs w:val="22"/>
                <w:highlight w:val="none"/>
              </w:rPr>
            </w:pPr>
            <w:r>
              <w:rPr>
                <w:spacing w:val="-4"/>
                <w:sz w:val="22"/>
                <w:szCs w:val="22"/>
                <w:highlight w:val="none"/>
              </w:rPr>
              <w:t>窗扇支撑及定</w:t>
            </w:r>
            <w:r>
              <w:rPr>
                <w:spacing w:val="3"/>
                <w:sz w:val="22"/>
                <w:szCs w:val="22"/>
                <w:highlight w:val="none"/>
              </w:rPr>
              <w:t xml:space="preserve"> </w:t>
            </w:r>
            <w:r>
              <w:rPr>
                <w:spacing w:val="-2"/>
                <w:sz w:val="22"/>
                <w:szCs w:val="22"/>
                <w:highlight w:val="none"/>
              </w:rPr>
              <w:t>位器安装</w:t>
            </w:r>
          </w:p>
        </w:tc>
        <w:tc>
          <w:tcPr>
            <w:tcW w:w="1622" w:type="dxa"/>
            <w:vAlign w:val="top"/>
          </w:tcPr>
          <w:p w14:paraId="13581649">
            <w:pPr>
              <w:spacing w:line="289" w:lineRule="auto"/>
              <w:rPr>
                <w:rFonts w:ascii="Arial"/>
                <w:sz w:val="21"/>
                <w:highlight w:val="none"/>
              </w:rPr>
            </w:pPr>
          </w:p>
          <w:p w14:paraId="64A42068">
            <w:pPr>
              <w:pStyle w:val="7"/>
              <w:spacing w:before="72" w:line="225" w:lineRule="auto"/>
              <w:ind w:left="758"/>
              <w:rPr>
                <w:sz w:val="22"/>
                <w:szCs w:val="22"/>
                <w:highlight w:val="none"/>
              </w:rPr>
            </w:pPr>
            <w:r>
              <w:rPr>
                <w:sz w:val="22"/>
                <w:szCs w:val="22"/>
                <w:highlight w:val="none"/>
              </w:rPr>
              <w:t>/</w:t>
            </w:r>
          </w:p>
        </w:tc>
        <w:tc>
          <w:tcPr>
            <w:tcW w:w="1785" w:type="dxa"/>
            <w:vAlign w:val="top"/>
          </w:tcPr>
          <w:p w14:paraId="659B08DB">
            <w:pPr>
              <w:spacing w:line="289" w:lineRule="auto"/>
              <w:rPr>
                <w:rFonts w:ascii="Arial"/>
                <w:sz w:val="21"/>
                <w:highlight w:val="none"/>
              </w:rPr>
            </w:pPr>
          </w:p>
          <w:p w14:paraId="6803388C">
            <w:pPr>
              <w:pStyle w:val="7"/>
              <w:spacing w:before="72" w:line="225" w:lineRule="auto"/>
              <w:ind w:left="843"/>
              <w:rPr>
                <w:sz w:val="22"/>
                <w:szCs w:val="22"/>
                <w:highlight w:val="none"/>
              </w:rPr>
            </w:pPr>
            <w:r>
              <w:rPr>
                <w:sz w:val="22"/>
                <w:szCs w:val="22"/>
                <w:highlight w:val="none"/>
              </w:rPr>
              <w:t>/</w:t>
            </w:r>
          </w:p>
        </w:tc>
        <w:tc>
          <w:tcPr>
            <w:tcW w:w="1471" w:type="dxa"/>
            <w:vAlign w:val="top"/>
          </w:tcPr>
          <w:p w14:paraId="64358EC4">
            <w:pPr>
              <w:spacing w:line="289" w:lineRule="auto"/>
              <w:rPr>
                <w:rFonts w:ascii="Arial"/>
                <w:sz w:val="21"/>
                <w:highlight w:val="none"/>
              </w:rPr>
            </w:pPr>
          </w:p>
          <w:p w14:paraId="0963BEBD">
            <w:pPr>
              <w:pStyle w:val="7"/>
              <w:spacing w:before="72" w:line="225" w:lineRule="auto"/>
              <w:ind w:left="685"/>
              <w:rPr>
                <w:sz w:val="22"/>
                <w:szCs w:val="22"/>
                <w:highlight w:val="none"/>
              </w:rPr>
            </w:pPr>
            <w:r>
              <w:rPr>
                <w:sz w:val="22"/>
                <w:szCs w:val="22"/>
                <w:highlight w:val="none"/>
              </w:rPr>
              <w:t>/</w:t>
            </w:r>
          </w:p>
        </w:tc>
        <w:tc>
          <w:tcPr>
            <w:tcW w:w="1268" w:type="dxa"/>
            <w:vAlign w:val="top"/>
          </w:tcPr>
          <w:p w14:paraId="693018A5">
            <w:pPr>
              <w:spacing w:line="289" w:lineRule="auto"/>
              <w:rPr>
                <w:rFonts w:ascii="Arial"/>
                <w:sz w:val="21"/>
                <w:highlight w:val="none"/>
              </w:rPr>
            </w:pPr>
          </w:p>
          <w:p w14:paraId="0FBB32D6">
            <w:pPr>
              <w:pStyle w:val="7"/>
              <w:spacing w:before="72" w:line="220" w:lineRule="auto"/>
              <w:ind w:left="229"/>
              <w:rPr>
                <w:sz w:val="22"/>
                <w:szCs w:val="22"/>
                <w:highlight w:val="none"/>
              </w:rPr>
            </w:pPr>
            <w:r>
              <w:rPr>
                <w:spacing w:val="-4"/>
                <w:sz w:val="22"/>
                <w:szCs w:val="22"/>
                <w:highlight w:val="none"/>
              </w:rPr>
              <w:t>80</w:t>
            </w:r>
            <w:r>
              <w:rPr>
                <w:spacing w:val="-43"/>
                <w:sz w:val="22"/>
                <w:szCs w:val="22"/>
                <w:highlight w:val="none"/>
              </w:rPr>
              <w:t xml:space="preserve"> </w:t>
            </w:r>
            <w:r>
              <w:rPr>
                <w:spacing w:val="-4"/>
                <w:sz w:val="22"/>
                <w:szCs w:val="22"/>
                <w:highlight w:val="none"/>
              </w:rPr>
              <w:t>元/个</w:t>
            </w:r>
          </w:p>
        </w:tc>
        <w:tc>
          <w:tcPr>
            <w:tcW w:w="600" w:type="dxa"/>
            <w:vAlign w:val="top"/>
          </w:tcPr>
          <w:p w14:paraId="25762841">
            <w:pPr>
              <w:rPr>
                <w:rFonts w:ascii="Arial"/>
                <w:sz w:val="21"/>
                <w:highlight w:val="none"/>
              </w:rPr>
            </w:pPr>
          </w:p>
        </w:tc>
      </w:tr>
      <w:tr w14:paraId="5866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69" w:type="dxa"/>
            <w:vMerge w:val="continue"/>
            <w:vAlign w:val="top"/>
          </w:tcPr>
          <w:p w14:paraId="2DE3496E">
            <w:pPr>
              <w:rPr>
                <w:rFonts w:ascii="Arial"/>
                <w:sz w:val="21"/>
                <w:highlight w:val="none"/>
              </w:rPr>
            </w:pPr>
          </w:p>
        </w:tc>
        <w:tc>
          <w:tcPr>
            <w:tcW w:w="682" w:type="dxa"/>
            <w:vMerge w:val="continue"/>
            <w:vAlign w:val="top"/>
          </w:tcPr>
          <w:p w14:paraId="77AD2C07">
            <w:pPr>
              <w:rPr>
                <w:rFonts w:ascii="Arial"/>
                <w:sz w:val="21"/>
                <w:highlight w:val="none"/>
              </w:rPr>
            </w:pPr>
          </w:p>
        </w:tc>
        <w:tc>
          <w:tcPr>
            <w:tcW w:w="1649" w:type="dxa"/>
            <w:vAlign w:val="top"/>
          </w:tcPr>
          <w:p w14:paraId="135EFA48">
            <w:pPr>
              <w:pStyle w:val="7"/>
              <w:spacing w:before="213" w:line="221" w:lineRule="auto"/>
              <w:ind w:left="123"/>
              <w:rPr>
                <w:sz w:val="22"/>
                <w:szCs w:val="22"/>
                <w:highlight w:val="none"/>
              </w:rPr>
            </w:pPr>
            <w:r>
              <w:rPr>
                <w:spacing w:val="-4"/>
                <w:sz w:val="22"/>
                <w:szCs w:val="22"/>
                <w:highlight w:val="none"/>
              </w:rPr>
              <w:t>窗把手安装</w:t>
            </w:r>
          </w:p>
        </w:tc>
        <w:tc>
          <w:tcPr>
            <w:tcW w:w="1622" w:type="dxa"/>
            <w:vAlign w:val="top"/>
          </w:tcPr>
          <w:p w14:paraId="79BA37D5">
            <w:pPr>
              <w:pStyle w:val="7"/>
              <w:spacing w:before="214" w:line="225" w:lineRule="auto"/>
              <w:ind w:left="758"/>
              <w:rPr>
                <w:sz w:val="22"/>
                <w:szCs w:val="22"/>
                <w:highlight w:val="none"/>
              </w:rPr>
            </w:pPr>
            <w:r>
              <w:rPr>
                <w:sz w:val="22"/>
                <w:szCs w:val="22"/>
                <w:highlight w:val="none"/>
              </w:rPr>
              <w:t>/</w:t>
            </w:r>
          </w:p>
        </w:tc>
        <w:tc>
          <w:tcPr>
            <w:tcW w:w="1785" w:type="dxa"/>
            <w:vAlign w:val="top"/>
          </w:tcPr>
          <w:p w14:paraId="3ECE9099">
            <w:pPr>
              <w:pStyle w:val="7"/>
              <w:spacing w:before="214" w:line="225" w:lineRule="auto"/>
              <w:ind w:left="843"/>
              <w:rPr>
                <w:sz w:val="22"/>
                <w:szCs w:val="22"/>
                <w:highlight w:val="none"/>
              </w:rPr>
            </w:pPr>
            <w:r>
              <w:rPr>
                <w:sz w:val="22"/>
                <w:szCs w:val="22"/>
                <w:highlight w:val="none"/>
              </w:rPr>
              <w:t>/</w:t>
            </w:r>
          </w:p>
        </w:tc>
        <w:tc>
          <w:tcPr>
            <w:tcW w:w="1471" w:type="dxa"/>
            <w:vAlign w:val="top"/>
          </w:tcPr>
          <w:p w14:paraId="529FD963">
            <w:pPr>
              <w:pStyle w:val="7"/>
              <w:spacing w:before="214" w:line="225" w:lineRule="auto"/>
              <w:ind w:left="685"/>
              <w:rPr>
                <w:sz w:val="22"/>
                <w:szCs w:val="22"/>
                <w:highlight w:val="none"/>
              </w:rPr>
            </w:pPr>
            <w:r>
              <w:rPr>
                <w:sz w:val="22"/>
                <w:szCs w:val="22"/>
                <w:highlight w:val="none"/>
              </w:rPr>
              <w:t>/</w:t>
            </w:r>
          </w:p>
        </w:tc>
        <w:tc>
          <w:tcPr>
            <w:tcW w:w="1268" w:type="dxa"/>
            <w:vAlign w:val="top"/>
          </w:tcPr>
          <w:p w14:paraId="0C7403EE">
            <w:pPr>
              <w:pStyle w:val="7"/>
              <w:spacing w:before="214" w:line="220" w:lineRule="auto"/>
              <w:ind w:left="232"/>
              <w:rPr>
                <w:sz w:val="22"/>
                <w:szCs w:val="22"/>
                <w:highlight w:val="none"/>
              </w:rPr>
            </w:pPr>
            <w:r>
              <w:rPr>
                <w:spacing w:val="-5"/>
                <w:sz w:val="22"/>
                <w:szCs w:val="22"/>
                <w:highlight w:val="none"/>
              </w:rPr>
              <w:t>50</w:t>
            </w:r>
            <w:r>
              <w:rPr>
                <w:spacing w:val="-41"/>
                <w:sz w:val="22"/>
                <w:szCs w:val="22"/>
                <w:highlight w:val="none"/>
              </w:rPr>
              <w:t xml:space="preserve"> </w:t>
            </w:r>
            <w:r>
              <w:rPr>
                <w:spacing w:val="-5"/>
                <w:sz w:val="22"/>
                <w:szCs w:val="22"/>
                <w:highlight w:val="none"/>
              </w:rPr>
              <w:t>元/个</w:t>
            </w:r>
          </w:p>
        </w:tc>
        <w:tc>
          <w:tcPr>
            <w:tcW w:w="600" w:type="dxa"/>
            <w:vAlign w:val="top"/>
          </w:tcPr>
          <w:p w14:paraId="0B1425AA">
            <w:pPr>
              <w:rPr>
                <w:rFonts w:ascii="Arial"/>
                <w:sz w:val="21"/>
                <w:highlight w:val="none"/>
              </w:rPr>
            </w:pPr>
          </w:p>
        </w:tc>
      </w:tr>
    </w:tbl>
    <w:p w14:paraId="0E4133C5">
      <w:pPr>
        <w:pStyle w:val="2"/>
        <w:rPr>
          <w:highlight w:val="none"/>
        </w:rPr>
      </w:pPr>
    </w:p>
    <w:p w14:paraId="09ADA18F">
      <w:pPr>
        <w:rPr>
          <w:highlight w:val="none"/>
        </w:rPr>
        <w:sectPr>
          <w:footerReference r:id="rId8" w:type="default"/>
          <w:pgSz w:w="11907" w:h="16840"/>
          <w:pgMar w:top="933" w:right="1193" w:bottom="1201" w:left="1162" w:header="0" w:footer="996" w:gutter="0"/>
          <w:cols w:space="720" w:num="1"/>
        </w:sectPr>
      </w:pPr>
    </w:p>
    <w:p w14:paraId="17BF9413">
      <w:pPr>
        <w:pStyle w:val="2"/>
        <w:rPr>
          <w:highlight w:val="none"/>
        </w:rPr>
      </w:pPr>
    </w:p>
    <w:p w14:paraId="1A49F42F">
      <w:pPr>
        <w:pStyle w:val="2"/>
        <w:spacing w:line="307" w:lineRule="auto"/>
        <w:rPr>
          <w:highlight w:val="none"/>
        </w:rPr>
      </w:pPr>
    </w:p>
    <w:p w14:paraId="27B53876">
      <w:pPr>
        <w:spacing w:before="171" w:line="195" w:lineRule="auto"/>
        <w:ind w:left="2706"/>
        <w:outlineLvl w:val="1"/>
        <w:rPr>
          <w:rFonts w:ascii="微软雅黑" w:hAnsi="微软雅黑" w:eastAsia="微软雅黑" w:cs="微软雅黑"/>
          <w:sz w:val="40"/>
          <w:szCs w:val="40"/>
          <w:highlight w:val="none"/>
        </w:rPr>
      </w:pPr>
      <w:bookmarkStart w:id="41" w:name="bookmark20"/>
      <w:bookmarkEnd w:id="41"/>
      <w:r>
        <w:rPr>
          <w:rFonts w:ascii="微软雅黑" w:hAnsi="微软雅黑" w:eastAsia="微软雅黑" w:cs="微软雅黑"/>
          <w:spacing w:val="-2"/>
          <w:sz w:val="40"/>
          <w:szCs w:val="40"/>
          <w:highlight w:val="none"/>
        </w:rPr>
        <w:t>第三篇</w:t>
      </w:r>
      <w:r>
        <w:rPr>
          <w:rFonts w:ascii="微软雅黑" w:hAnsi="微软雅黑" w:eastAsia="微软雅黑" w:cs="微软雅黑"/>
          <w:spacing w:val="18"/>
          <w:sz w:val="40"/>
          <w:szCs w:val="40"/>
          <w:highlight w:val="none"/>
        </w:rPr>
        <w:t xml:space="preserve">   </w:t>
      </w:r>
      <w:r>
        <w:rPr>
          <w:rFonts w:ascii="微软雅黑" w:hAnsi="微软雅黑" w:eastAsia="微软雅黑" w:cs="微软雅黑"/>
          <w:spacing w:val="-2"/>
          <w:sz w:val="40"/>
          <w:szCs w:val="40"/>
          <w:highlight w:val="none"/>
        </w:rPr>
        <w:t>项目商务需求</w:t>
      </w:r>
    </w:p>
    <w:p w14:paraId="54DCE9E4">
      <w:pPr>
        <w:spacing w:line="219" w:lineRule="auto"/>
        <w:ind w:left="412"/>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宋体" w:hAnsi="宋体" w:eastAsia="宋体" w:cs="宋体"/>
          <w:spacing w:val="-79"/>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”标注的技术需求为符合性审查中的实质性要求，若不满足按无效响应处理。</w:t>
      </w:r>
    </w:p>
    <w:p w14:paraId="6B90F168">
      <w:pPr>
        <w:spacing w:before="36" w:line="219" w:lineRule="auto"/>
        <w:ind w:left="30"/>
        <w:rPr>
          <w:rFonts w:ascii="宋体" w:hAnsi="宋体" w:eastAsia="宋体" w:cs="宋体"/>
          <w:sz w:val="24"/>
          <w:szCs w:val="24"/>
          <w:highlight w:val="none"/>
        </w:rPr>
      </w:pPr>
      <w:r>
        <w:rPr>
          <w:rFonts w:ascii="宋体" w:hAnsi="宋体" w:eastAsia="宋体" w:cs="宋体"/>
          <w:sz w:val="24"/>
          <w:szCs w:val="24"/>
          <w:highlight w:val="none"/>
        </w:rPr>
        <w:t>按照所投分包响应相应分包要求即可（未做区分的条款则为</w:t>
      </w:r>
      <w:r>
        <w:rPr>
          <w:rFonts w:ascii="宋体" w:hAnsi="宋体" w:eastAsia="宋体" w:cs="宋体"/>
          <w:spacing w:val="-1"/>
          <w:sz w:val="24"/>
          <w:szCs w:val="24"/>
          <w:highlight w:val="none"/>
        </w:rPr>
        <w:t>所有包都需要响应的条款）。</w:t>
      </w:r>
    </w:p>
    <w:p w14:paraId="6BF46429">
      <w:pPr>
        <w:pStyle w:val="2"/>
        <w:spacing w:line="344" w:lineRule="auto"/>
        <w:rPr>
          <w:highlight w:val="none"/>
        </w:rPr>
      </w:pPr>
    </w:p>
    <w:p w14:paraId="46363099">
      <w:pPr>
        <w:spacing w:before="79" w:line="219" w:lineRule="auto"/>
        <w:ind w:left="444"/>
        <w:outlineLvl w:val="1"/>
        <w:rPr>
          <w:rFonts w:ascii="宋体" w:hAnsi="宋体" w:eastAsia="宋体" w:cs="宋体"/>
          <w:sz w:val="24"/>
          <w:szCs w:val="24"/>
          <w:highlight w:val="none"/>
        </w:rPr>
      </w:pPr>
      <w:r>
        <w:rPr>
          <w:rFonts w:ascii="宋体" w:hAnsi="宋体" w:eastAsia="宋体" w:cs="宋体"/>
          <w:spacing w:val="-1"/>
          <w:sz w:val="24"/>
          <w:szCs w:val="24"/>
          <w:highlight w:val="none"/>
        </w:rPr>
        <w:t>※一、服务期（或为：实施时间）、交货地点（或为：实施地点）及验收方式</w:t>
      </w:r>
    </w:p>
    <w:p w14:paraId="54A4C2A9">
      <w:pPr>
        <w:spacing w:before="28" w:line="219" w:lineRule="auto"/>
        <w:ind w:left="493"/>
        <w:rPr>
          <w:rFonts w:ascii="宋体" w:hAnsi="宋体" w:eastAsia="宋体" w:cs="宋体"/>
          <w:sz w:val="24"/>
          <w:szCs w:val="24"/>
          <w:highlight w:val="none"/>
        </w:rPr>
      </w:pPr>
      <w:r>
        <w:rPr>
          <w:rFonts w:ascii="宋体" w:hAnsi="宋体" w:eastAsia="宋体" w:cs="宋体"/>
          <w:spacing w:val="-3"/>
          <w:sz w:val="24"/>
          <w:szCs w:val="24"/>
          <w:highlight w:val="none"/>
        </w:rPr>
        <w:t>（一）服务期：签订合同之日起</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年。</w:t>
      </w:r>
    </w:p>
    <w:p w14:paraId="0FE76A58">
      <w:pPr>
        <w:spacing w:before="26" w:line="219" w:lineRule="auto"/>
        <w:ind w:left="493"/>
        <w:rPr>
          <w:rFonts w:ascii="宋体" w:hAnsi="宋体" w:eastAsia="宋体" w:cs="宋体"/>
          <w:sz w:val="24"/>
          <w:szCs w:val="24"/>
          <w:highlight w:val="none"/>
        </w:rPr>
      </w:pPr>
      <w:r>
        <w:rPr>
          <w:rFonts w:ascii="宋体" w:hAnsi="宋体" w:eastAsia="宋体" w:cs="宋体"/>
          <w:spacing w:val="-3"/>
          <w:sz w:val="24"/>
          <w:szCs w:val="24"/>
          <w:highlight w:val="none"/>
        </w:rPr>
        <w:t>（二）交货地点</w:t>
      </w:r>
    </w:p>
    <w:p w14:paraId="1B60FD5C">
      <w:pPr>
        <w:spacing w:before="25"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交货地点：采购人指定地点。</w:t>
      </w:r>
    </w:p>
    <w:p w14:paraId="21F677EF">
      <w:pPr>
        <w:spacing w:before="29" w:line="219" w:lineRule="auto"/>
        <w:ind w:left="493"/>
        <w:rPr>
          <w:rFonts w:ascii="宋体" w:hAnsi="宋体" w:eastAsia="宋体" w:cs="宋体"/>
          <w:sz w:val="24"/>
          <w:szCs w:val="24"/>
          <w:highlight w:val="none"/>
        </w:rPr>
      </w:pPr>
      <w:r>
        <w:rPr>
          <w:rFonts w:ascii="宋体" w:hAnsi="宋体" w:eastAsia="宋体" w:cs="宋体"/>
          <w:spacing w:val="-3"/>
          <w:sz w:val="24"/>
          <w:szCs w:val="24"/>
          <w:highlight w:val="none"/>
        </w:rPr>
        <w:t>（三）验收方式</w:t>
      </w:r>
    </w:p>
    <w:p w14:paraId="76AEDE9C">
      <w:pPr>
        <w:spacing w:before="26" w:line="230" w:lineRule="auto"/>
        <w:ind w:left="2" w:right="172" w:firstLine="496"/>
        <w:rPr>
          <w:rFonts w:ascii="宋体" w:hAnsi="宋体" w:eastAsia="宋体" w:cs="宋体"/>
          <w:sz w:val="24"/>
          <w:szCs w:val="24"/>
          <w:highlight w:val="none"/>
        </w:rPr>
      </w:pPr>
      <w:r>
        <w:rPr>
          <w:rFonts w:ascii="宋体" w:hAnsi="宋体" w:eastAsia="宋体" w:cs="宋体"/>
          <w:spacing w:val="-2"/>
          <w:sz w:val="24"/>
          <w:szCs w:val="24"/>
          <w:highlight w:val="none"/>
        </w:rPr>
        <w:t>1.重要原材料到达现场后，供应商应在使用单位相关人员在场情况下当面清点品名、</w:t>
      </w:r>
      <w:r>
        <w:rPr>
          <w:rFonts w:ascii="宋体" w:hAnsi="宋体" w:eastAsia="宋体" w:cs="宋体"/>
          <w:spacing w:val="8"/>
          <w:sz w:val="24"/>
          <w:szCs w:val="24"/>
          <w:highlight w:val="none"/>
        </w:rPr>
        <w:t xml:space="preserve"> </w:t>
      </w:r>
      <w:r>
        <w:rPr>
          <w:rFonts w:ascii="宋体" w:hAnsi="宋体" w:eastAsia="宋体" w:cs="宋体"/>
          <w:spacing w:val="-1"/>
          <w:sz w:val="24"/>
          <w:szCs w:val="24"/>
          <w:highlight w:val="none"/>
        </w:rPr>
        <w:t>规格、型号、质量；检查外观，做出验收记录，双方签字确认。</w:t>
      </w:r>
    </w:p>
    <w:p w14:paraId="42D26BAF">
      <w:pPr>
        <w:spacing w:before="23" w:line="230" w:lineRule="auto"/>
        <w:ind w:left="485" w:right="4252" w:hanging="1"/>
        <w:rPr>
          <w:rFonts w:ascii="宋体" w:hAnsi="宋体" w:eastAsia="宋体" w:cs="宋体"/>
          <w:sz w:val="24"/>
          <w:szCs w:val="24"/>
          <w:highlight w:val="none"/>
        </w:rPr>
      </w:pPr>
      <w:r>
        <w:rPr>
          <w:rFonts w:ascii="宋体" w:hAnsi="宋体" w:eastAsia="宋体" w:cs="宋体"/>
          <w:spacing w:val="-3"/>
          <w:sz w:val="24"/>
          <w:szCs w:val="24"/>
          <w:highlight w:val="none"/>
        </w:rPr>
        <w:t>2.供应商应派遣专业技术人员进行现场施。</w:t>
      </w:r>
      <w:r>
        <w:rPr>
          <w:rFonts w:ascii="宋体" w:hAnsi="宋体" w:eastAsia="宋体" w:cs="宋体"/>
          <w:spacing w:val="9"/>
          <w:sz w:val="24"/>
          <w:szCs w:val="24"/>
          <w:highlight w:val="none"/>
        </w:rPr>
        <w:t xml:space="preserve"> </w:t>
      </w:r>
      <w:r>
        <w:rPr>
          <w:rFonts w:ascii="宋体" w:hAnsi="宋体" w:eastAsia="宋体" w:cs="宋体"/>
          <w:spacing w:val="-2"/>
          <w:sz w:val="24"/>
          <w:szCs w:val="24"/>
          <w:highlight w:val="none"/>
        </w:rPr>
        <w:t>3.验收合格条件如下：</w:t>
      </w:r>
    </w:p>
    <w:p w14:paraId="5C08170A">
      <w:pPr>
        <w:spacing w:before="27" w:line="229" w:lineRule="auto"/>
        <w:ind w:left="5" w:right="193" w:firstLine="480"/>
        <w:rPr>
          <w:rFonts w:ascii="宋体" w:hAnsi="宋体" w:eastAsia="宋体" w:cs="宋体"/>
          <w:sz w:val="24"/>
          <w:szCs w:val="24"/>
          <w:highlight w:val="none"/>
        </w:rPr>
      </w:pPr>
      <w:r>
        <w:rPr>
          <w:rFonts w:ascii="宋体" w:hAnsi="宋体" w:eastAsia="宋体" w:cs="宋体"/>
          <w:spacing w:val="-1"/>
          <w:sz w:val="24"/>
          <w:szCs w:val="24"/>
          <w:highlight w:val="none"/>
        </w:rPr>
        <w:t>3.1</w:t>
      </w:r>
      <w:r>
        <w:rPr>
          <w:rFonts w:ascii="宋体" w:hAnsi="宋体" w:eastAsia="宋体" w:cs="宋体"/>
          <w:spacing w:val="-38"/>
          <w:sz w:val="24"/>
          <w:szCs w:val="24"/>
          <w:highlight w:val="none"/>
        </w:rPr>
        <w:t xml:space="preserve"> </w:t>
      </w:r>
      <w:r>
        <w:rPr>
          <w:rFonts w:ascii="宋体" w:hAnsi="宋体" w:eastAsia="宋体" w:cs="宋体"/>
          <w:spacing w:val="-1"/>
          <w:sz w:val="24"/>
          <w:szCs w:val="24"/>
          <w:highlight w:val="none"/>
        </w:rPr>
        <w:t>所使用材料品种、规格、数量、技术参数以及商品品牌、生产厂家等与采购合同</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一致，性能指标达到规定的标准。</w:t>
      </w:r>
    </w:p>
    <w:p w14:paraId="2F492A56">
      <w:pPr>
        <w:spacing w:before="26"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3.2</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所使用重要原材料资料、装箱单、合格证等资料齐全。</w:t>
      </w:r>
    </w:p>
    <w:p w14:paraId="4B428982">
      <w:pPr>
        <w:spacing w:before="27"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3.3</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施工工艺和施工质量达到采购文件要求和国家规定标准。</w:t>
      </w:r>
    </w:p>
    <w:p w14:paraId="2B4960BF">
      <w:pPr>
        <w:spacing w:before="28"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3.4</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质量达到或高于国家规范要求。</w:t>
      </w:r>
    </w:p>
    <w:p w14:paraId="26E8F454">
      <w:pPr>
        <w:spacing w:before="24"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3.5</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在规定时间内完成交货并验收，并经采购人确认。</w:t>
      </w:r>
    </w:p>
    <w:p w14:paraId="0D9107D8">
      <w:pPr>
        <w:spacing w:before="27" w:line="229" w:lineRule="auto"/>
        <w:ind w:left="2" w:right="133" w:firstLine="478"/>
        <w:rPr>
          <w:rFonts w:ascii="宋体" w:hAnsi="宋体" w:eastAsia="宋体" w:cs="宋体"/>
          <w:sz w:val="24"/>
          <w:szCs w:val="24"/>
          <w:highlight w:val="none"/>
        </w:rPr>
      </w:pPr>
      <w:r>
        <w:rPr>
          <w:rFonts w:ascii="宋体" w:hAnsi="宋体" w:eastAsia="宋体" w:cs="宋体"/>
          <w:sz w:val="24"/>
          <w:szCs w:val="24"/>
          <w:highlight w:val="none"/>
        </w:rPr>
        <w:t>4.供应商提供的产品未达到采购文件规定要求，且对采购人造</w:t>
      </w:r>
      <w:r>
        <w:rPr>
          <w:rFonts w:ascii="宋体" w:hAnsi="宋体" w:eastAsia="宋体" w:cs="宋体"/>
          <w:spacing w:val="-1"/>
          <w:sz w:val="24"/>
          <w:szCs w:val="24"/>
          <w:highlight w:val="none"/>
        </w:rPr>
        <w:t>成损失的，由供应商承</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担一切责任，并赔偿所造成的损失。</w:t>
      </w:r>
    </w:p>
    <w:p w14:paraId="7A64C459">
      <w:pPr>
        <w:spacing w:before="27"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5.如有必要，采购人可邀请国家认可的质量检测机构参加验收工作。</w:t>
      </w:r>
    </w:p>
    <w:p w14:paraId="3635CE4F">
      <w:pPr>
        <w:spacing w:before="29" w:line="228" w:lineRule="auto"/>
        <w:ind w:left="1" w:right="191" w:firstLine="481"/>
        <w:rPr>
          <w:rFonts w:ascii="宋体" w:hAnsi="宋体" w:eastAsia="宋体" w:cs="宋体"/>
          <w:sz w:val="24"/>
          <w:szCs w:val="24"/>
          <w:highlight w:val="none"/>
        </w:rPr>
      </w:pPr>
      <w:r>
        <w:rPr>
          <w:rFonts w:ascii="宋体" w:hAnsi="宋体" w:eastAsia="宋体" w:cs="宋体"/>
          <w:spacing w:val="-2"/>
          <w:sz w:val="24"/>
          <w:szCs w:val="24"/>
          <w:highlight w:val="none"/>
        </w:rPr>
        <w:t>6.采购人需要厂家对成交供应商交付的产品（包括质量、技术参数等）进行确认的，</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供应商应取得厂家配合及厂家书面意见。</w:t>
      </w:r>
    </w:p>
    <w:p w14:paraId="46114528">
      <w:pPr>
        <w:spacing w:before="106" w:line="218" w:lineRule="auto"/>
        <w:ind w:left="502"/>
        <w:rPr>
          <w:rFonts w:ascii="宋体" w:hAnsi="宋体" w:eastAsia="宋体" w:cs="宋体"/>
          <w:sz w:val="24"/>
          <w:szCs w:val="24"/>
          <w:highlight w:val="none"/>
        </w:rPr>
      </w:pPr>
      <w:r>
        <w:rPr>
          <w:rFonts w:ascii="宋体" w:hAnsi="宋体" w:eastAsia="宋体" w:cs="宋体"/>
          <w:spacing w:val="-5"/>
          <w:sz w:val="24"/>
          <w:szCs w:val="24"/>
          <w:highlight w:val="none"/>
        </w:rPr>
        <w:t>※二、报价要求</w:t>
      </w:r>
    </w:p>
    <w:p w14:paraId="700BFB67">
      <w:pPr>
        <w:numPr>
          <w:ilvl w:val="0"/>
          <w:numId w:val="1"/>
        </w:numPr>
        <w:spacing w:before="36" w:line="236" w:lineRule="auto"/>
        <w:ind w:firstLine="493"/>
        <w:rPr>
          <w:rFonts w:ascii="宋体" w:hAnsi="宋体" w:eastAsia="宋体" w:cs="宋体"/>
          <w:spacing w:val="-2"/>
          <w:sz w:val="24"/>
          <w:szCs w:val="24"/>
          <w:highlight w:val="none"/>
        </w:rPr>
      </w:pPr>
      <w:r>
        <w:rPr>
          <w:rFonts w:ascii="宋体" w:hAnsi="宋体" w:eastAsia="宋体" w:cs="宋体"/>
          <w:spacing w:val="-3"/>
          <w:sz w:val="24"/>
          <w:szCs w:val="24"/>
          <w:highlight w:val="none"/>
        </w:rPr>
        <w:t>本次报价为折扣报价，报价包括本项目所有服</w:t>
      </w:r>
      <w:r>
        <w:rPr>
          <w:rFonts w:ascii="宋体" w:hAnsi="宋体" w:eastAsia="宋体" w:cs="宋体"/>
          <w:spacing w:val="-4"/>
          <w:sz w:val="24"/>
          <w:szCs w:val="24"/>
          <w:highlight w:val="none"/>
        </w:rPr>
        <w:t>务费、材料费、人工费、通讯费、</w:t>
      </w:r>
      <w:r>
        <w:rPr>
          <w:rFonts w:ascii="宋体" w:hAnsi="宋体" w:eastAsia="宋体" w:cs="宋体"/>
          <w:sz w:val="24"/>
          <w:szCs w:val="24"/>
          <w:highlight w:val="none"/>
        </w:rPr>
        <w:t xml:space="preserve"> 交通费、保险费、设计费、税费、比选代理服务费等一切费用。因竞</w:t>
      </w:r>
      <w:r>
        <w:rPr>
          <w:rFonts w:ascii="宋体" w:hAnsi="宋体" w:eastAsia="宋体" w:cs="宋体"/>
          <w:spacing w:val="-1"/>
          <w:sz w:val="24"/>
          <w:szCs w:val="24"/>
          <w:highlight w:val="none"/>
        </w:rPr>
        <w:t>选人自身原因造成漏</w:t>
      </w:r>
      <w:r>
        <w:rPr>
          <w:rFonts w:ascii="宋体" w:hAnsi="宋体" w:eastAsia="宋体" w:cs="宋体"/>
          <w:sz w:val="24"/>
          <w:szCs w:val="24"/>
          <w:highlight w:val="none"/>
        </w:rPr>
        <w:t xml:space="preserve">  报、少报皆由其自行承担责任，比选人不再补偿。其中若有本次已经</w:t>
      </w:r>
      <w:r>
        <w:rPr>
          <w:rFonts w:ascii="宋体" w:hAnsi="宋体" w:eastAsia="宋体" w:cs="宋体"/>
          <w:spacing w:val="-1"/>
          <w:sz w:val="24"/>
          <w:szCs w:val="24"/>
          <w:highlight w:val="none"/>
        </w:rPr>
        <w:t>发布的清单则按照本</w:t>
      </w:r>
      <w:r>
        <w:rPr>
          <w:rFonts w:ascii="宋体" w:hAnsi="宋体" w:eastAsia="宋体" w:cs="宋体"/>
          <w:sz w:val="24"/>
          <w:szCs w:val="24"/>
          <w:highlight w:val="none"/>
        </w:rPr>
        <w:t xml:space="preserve">  次发布的清单限价为准，若在本次发布的清单外则按采购人审核后的</w:t>
      </w:r>
      <w:r>
        <w:rPr>
          <w:rFonts w:ascii="宋体" w:hAnsi="宋体" w:eastAsia="宋体" w:cs="宋体"/>
          <w:spacing w:val="-1"/>
          <w:sz w:val="24"/>
          <w:szCs w:val="24"/>
          <w:highlight w:val="none"/>
        </w:rPr>
        <w:t>单价作为基准价，即</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单项结算总金额=﹝基准价×中选折扣﹞</w:t>
      </w:r>
      <w:r>
        <w:rPr>
          <w:rFonts w:ascii="宋体" w:hAnsi="宋体" w:eastAsia="宋体" w:cs="宋体"/>
          <w:spacing w:val="-77"/>
          <w:sz w:val="24"/>
          <w:szCs w:val="24"/>
          <w:highlight w:val="none"/>
        </w:rPr>
        <w:t xml:space="preserve"> </w:t>
      </w:r>
      <w:r>
        <w:rPr>
          <w:rFonts w:ascii="宋体" w:hAnsi="宋体" w:eastAsia="宋体" w:cs="宋体"/>
          <w:spacing w:val="-1"/>
          <w:sz w:val="24"/>
          <w:szCs w:val="24"/>
          <w:highlight w:val="none"/>
        </w:rPr>
        <w:t>×实际数量。结算</w:t>
      </w:r>
      <w:r>
        <w:rPr>
          <w:rFonts w:ascii="宋体" w:hAnsi="宋体" w:eastAsia="宋体" w:cs="宋体"/>
          <w:spacing w:val="-2"/>
          <w:sz w:val="24"/>
          <w:szCs w:val="24"/>
          <w:highlight w:val="none"/>
        </w:rPr>
        <w:t>总金额按四舍五入保留两位小数。</w:t>
      </w:r>
    </w:p>
    <w:p w14:paraId="30767F08">
      <w:pPr>
        <w:numPr>
          <w:ilvl w:val="0"/>
          <w:numId w:val="0"/>
        </w:numPr>
        <w:spacing w:before="36" w:line="236" w:lineRule="auto"/>
        <w:rPr>
          <w:rFonts w:ascii="宋体" w:hAnsi="宋体" w:eastAsia="宋体" w:cs="宋体"/>
          <w:sz w:val="24"/>
          <w:szCs w:val="24"/>
          <w:highlight w:val="none"/>
        </w:rPr>
      </w:pPr>
      <w:r>
        <w:rPr>
          <w:rFonts w:ascii="宋体" w:hAnsi="宋体" w:eastAsia="宋体" w:cs="宋体"/>
          <w:spacing w:val="-2"/>
          <w:sz w:val="24"/>
          <w:szCs w:val="24"/>
          <w:highlight w:val="none"/>
        </w:rPr>
        <w:t>（例如：报价</w:t>
      </w:r>
      <w:r>
        <w:rPr>
          <w:rFonts w:ascii="宋体" w:hAnsi="宋体" w:eastAsia="宋体" w:cs="宋体"/>
          <w:spacing w:val="-34"/>
          <w:sz w:val="24"/>
          <w:szCs w:val="24"/>
          <w:highlight w:val="none"/>
        </w:rPr>
        <w:t xml:space="preserve"> </w:t>
      </w:r>
      <w:r>
        <w:rPr>
          <w:rFonts w:ascii="宋体" w:hAnsi="宋体" w:eastAsia="宋体" w:cs="宋体"/>
          <w:spacing w:val="-2"/>
          <w:sz w:val="24"/>
          <w:szCs w:val="24"/>
          <w:highlight w:val="none"/>
        </w:rPr>
        <w:t>80%.单项结算价格=（采购人单价限价×80%）</w:t>
      </w:r>
      <w:r>
        <w:rPr>
          <w:rFonts w:ascii="宋体" w:hAnsi="宋体" w:eastAsia="宋体" w:cs="宋体"/>
          <w:spacing w:val="-77"/>
          <w:sz w:val="24"/>
          <w:szCs w:val="24"/>
          <w:highlight w:val="none"/>
        </w:rPr>
        <w:t xml:space="preserve"> </w:t>
      </w:r>
      <w:r>
        <w:rPr>
          <w:rFonts w:ascii="宋体" w:hAnsi="宋体" w:eastAsia="宋体" w:cs="宋体"/>
          <w:spacing w:val="-2"/>
          <w:sz w:val="24"/>
          <w:szCs w:val="24"/>
          <w:highlight w:val="none"/>
        </w:rPr>
        <w:t>×实际数量。）</w:t>
      </w:r>
    </w:p>
    <w:p w14:paraId="13AE46DB">
      <w:pPr>
        <w:spacing w:before="108" w:line="218" w:lineRule="auto"/>
        <w:ind w:left="425"/>
        <w:outlineLvl w:val="1"/>
        <w:rPr>
          <w:rFonts w:ascii="宋体" w:hAnsi="宋体" w:eastAsia="宋体" w:cs="宋体"/>
          <w:sz w:val="24"/>
          <w:szCs w:val="24"/>
          <w:highlight w:val="none"/>
        </w:rPr>
      </w:pPr>
      <w:r>
        <w:rPr>
          <w:rFonts w:ascii="宋体" w:hAnsi="宋体" w:eastAsia="宋体" w:cs="宋体"/>
          <w:spacing w:val="-3"/>
          <w:sz w:val="24"/>
          <w:szCs w:val="24"/>
          <w:highlight w:val="none"/>
        </w:rPr>
        <w:t>本项目分为两部分报价。供应商须报维修项目总限价在</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0-1.5</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万元的折扣价格，和1.5</w:t>
      </w:r>
    </w:p>
    <w:p w14:paraId="2E6FBF74">
      <w:pPr>
        <w:spacing w:before="118" w:line="218" w:lineRule="auto"/>
        <w:ind w:left="7"/>
        <w:rPr>
          <w:rFonts w:ascii="宋体" w:hAnsi="宋体" w:eastAsia="宋体" w:cs="宋体"/>
          <w:sz w:val="24"/>
          <w:szCs w:val="24"/>
          <w:highlight w:val="none"/>
        </w:rPr>
      </w:pPr>
      <w:r>
        <w:rPr>
          <w:rFonts w:ascii="宋体" w:hAnsi="宋体" w:eastAsia="宋体" w:cs="宋体"/>
          <w:spacing w:val="-2"/>
          <w:sz w:val="24"/>
          <w:szCs w:val="24"/>
          <w:highlight w:val="none"/>
        </w:rPr>
        <w:t>万元-3</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万元的折扣价格。（最高折扣限价均为</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100%，供应商报价均不得超过</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100%否则做</w:t>
      </w:r>
    </w:p>
    <w:p w14:paraId="5A989CCF">
      <w:pPr>
        <w:spacing w:before="115" w:line="220" w:lineRule="auto"/>
        <w:ind w:left="3"/>
        <w:rPr>
          <w:rFonts w:ascii="宋体" w:hAnsi="宋体" w:eastAsia="宋体" w:cs="宋体"/>
          <w:sz w:val="24"/>
          <w:szCs w:val="24"/>
          <w:highlight w:val="none"/>
        </w:rPr>
      </w:pPr>
      <w:r>
        <w:rPr>
          <w:rFonts w:ascii="宋体" w:hAnsi="宋体" w:eastAsia="宋体" w:cs="宋体"/>
          <w:spacing w:val="-2"/>
          <w:sz w:val="24"/>
          <w:szCs w:val="24"/>
          <w:highlight w:val="none"/>
        </w:rPr>
        <w:t>无效响应处理。）</w:t>
      </w:r>
    </w:p>
    <w:p w14:paraId="7E2048D6">
      <w:pPr>
        <w:spacing w:before="115" w:line="219" w:lineRule="auto"/>
        <w:ind w:left="444"/>
        <w:outlineLvl w:val="1"/>
        <w:rPr>
          <w:rFonts w:ascii="宋体" w:hAnsi="宋体" w:eastAsia="宋体" w:cs="宋体"/>
          <w:sz w:val="24"/>
          <w:szCs w:val="24"/>
          <w:highlight w:val="none"/>
        </w:rPr>
      </w:pPr>
      <w:r>
        <w:rPr>
          <w:rFonts w:ascii="宋体" w:hAnsi="宋体" w:eastAsia="宋体" w:cs="宋体"/>
          <w:spacing w:val="-3"/>
          <w:sz w:val="24"/>
          <w:szCs w:val="24"/>
          <w:highlight w:val="none"/>
        </w:rPr>
        <w:t>※三、质量保证及售后服务</w:t>
      </w:r>
    </w:p>
    <w:p w14:paraId="0F7E97D1">
      <w:pPr>
        <w:spacing w:before="36" w:line="227" w:lineRule="auto"/>
        <w:ind w:left="491"/>
        <w:rPr>
          <w:rFonts w:ascii="宋体" w:hAnsi="宋体" w:eastAsia="宋体" w:cs="宋体"/>
          <w:b/>
          <w:bCs/>
          <w:sz w:val="24"/>
          <w:szCs w:val="24"/>
          <w:highlight w:val="none"/>
        </w:rPr>
      </w:pPr>
      <w:r>
        <w:rPr>
          <w:rFonts w:ascii="宋体" w:hAnsi="宋体" w:eastAsia="宋体" w:cs="宋体"/>
          <w:b/>
          <w:bCs/>
          <w:spacing w:val="-4"/>
          <w:sz w:val="24"/>
          <w:szCs w:val="24"/>
          <w:highlight w:val="none"/>
        </w:rPr>
        <w:t>包二：</w:t>
      </w:r>
    </w:p>
    <w:p w14:paraId="6C62FD81">
      <w:pPr>
        <w:spacing w:before="102" w:line="286" w:lineRule="auto"/>
        <w:ind w:left="11" w:right="287" w:firstLine="491"/>
        <w:rPr>
          <w:rFonts w:ascii="宋体" w:hAnsi="宋体" w:eastAsia="宋体" w:cs="宋体"/>
          <w:sz w:val="24"/>
          <w:szCs w:val="24"/>
          <w:highlight w:val="none"/>
        </w:rPr>
      </w:pPr>
      <w:r>
        <w:rPr>
          <w:rFonts w:ascii="宋体" w:hAnsi="宋体" w:eastAsia="宋体" w:cs="宋体"/>
          <w:spacing w:val="-1"/>
          <w:sz w:val="24"/>
          <w:szCs w:val="24"/>
          <w:highlight w:val="none"/>
        </w:rPr>
        <w:t>（一）设备和材料质量总体要求：使用设备和所供相关材料必须货真价实，符合环保</w:t>
      </w:r>
      <w:r>
        <w:rPr>
          <w:rFonts w:ascii="宋体" w:hAnsi="宋体" w:eastAsia="宋体" w:cs="宋体"/>
          <w:spacing w:val="15"/>
          <w:sz w:val="24"/>
          <w:szCs w:val="24"/>
          <w:highlight w:val="none"/>
        </w:rPr>
        <w:t xml:space="preserve"> </w:t>
      </w:r>
      <w:r>
        <w:rPr>
          <w:rFonts w:ascii="宋体" w:hAnsi="宋体" w:eastAsia="宋体" w:cs="宋体"/>
          <w:sz w:val="24"/>
          <w:szCs w:val="24"/>
          <w:highlight w:val="none"/>
        </w:rPr>
        <w:t>节能要求，假冒伪劣产品不得参与采购；所供设备和材料的各项</w:t>
      </w:r>
      <w:r>
        <w:rPr>
          <w:rFonts w:ascii="宋体" w:hAnsi="宋体" w:eastAsia="宋体" w:cs="宋体"/>
          <w:spacing w:val="-1"/>
          <w:sz w:val="24"/>
          <w:szCs w:val="24"/>
          <w:highlight w:val="none"/>
        </w:rPr>
        <w:t>手续、文件必须真实完整</w:t>
      </w:r>
      <w:r>
        <w:rPr>
          <w:rFonts w:ascii="宋体" w:hAnsi="宋体" w:eastAsia="宋体" w:cs="宋体"/>
          <w:sz w:val="24"/>
          <w:szCs w:val="24"/>
          <w:highlight w:val="none"/>
        </w:rPr>
        <w:t xml:space="preserve"> 有效；其他材料各项技术参数、质量指标必须符合国家技术质量</w:t>
      </w:r>
      <w:r>
        <w:rPr>
          <w:rFonts w:ascii="宋体" w:hAnsi="宋体" w:eastAsia="宋体" w:cs="宋体"/>
          <w:spacing w:val="-1"/>
          <w:sz w:val="24"/>
          <w:szCs w:val="24"/>
          <w:highlight w:val="none"/>
        </w:rPr>
        <w:t>监督机构及有关管理部门</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和行业的规定标准，满足文件全部要求。</w:t>
      </w:r>
    </w:p>
    <w:p w14:paraId="779348D4">
      <w:pPr>
        <w:spacing w:before="115" w:line="264" w:lineRule="auto"/>
        <w:ind w:left="10" w:right="235" w:firstLine="492"/>
        <w:rPr>
          <w:rFonts w:ascii="宋体" w:hAnsi="宋体" w:eastAsia="宋体" w:cs="宋体"/>
          <w:sz w:val="24"/>
          <w:szCs w:val="24"/>
          <w:highlight w:val="none"/>
        </w:rPr>
      </w:pPr>
      <w:r>
        <w:rPr>
          <w:rFonts w:ascii="宋体" w:hAnsi="宋体" w:eastAsia="宋体" w:cs="宋体"/>
          <w:spacing w:val="-3"/>
          <w:sz w:val="24"/>
          <w:szCs w:val="24"/>
          <w:highlight w:val="none"/>
        </w:rPr>
        <w:t>（二）质量保证期:本项目缺陷责任期为</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6</w:t>
      </w:r>
      <w:r>
        <w:rPr>
          <w:rFonts w:ascii="宋体" w:hAnsi="宋体" w:eastAsia="宋体" w:cs="宋体"/>
          <w:spacing w:val="-51"/>
          <w:sz w:val="24"/>
          <w:szCs w:val="24"/>
          <w:highlight w:val="none"/>
        </w:rPr>
        <w:t xml:space="preserve"> </w:t>
      </w:r>
      <w:r>
        <w:rPr>
          <w:rFonts w:ascii="宋体" w:hAnsi="宋体" w:eastAsia="宋体" w:cs="宋体"/>
          <w:spacing w:val="-3"/>
          <w:sz w:val="24"/>
          <w:szCs w:val="24"/>
          <w:highlight w:val="none"/>
        </w:rPr>
        <w:t>个月。保修期内，安装施工质量缺陷的维护</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及维修（非人为损坏）均为免费。</w:t>
      </w:r>
    </w:p>
    <w:p w14:paraId="5AEAC836">
      <w:pPr>
        <w:spacing w:before="114" w:line="219" w:lineRule="auto"/>
        <w:ind w:left="503"/>
        <w:rPr>
          <w:rFonts w:ascii="宋体" w:hAnsi="宋体" w:eastAsia="宋体" w:cs="宋体"/>
          <w:sz w:val="24"/>
          <w:szCs w:val="24"/>
          <w:highlight w:val="none"/>
        </w:rPr>
      </w:pPr>
      <w:r>
        <w:rPr>
          <w:rFonts w:ascii="宋体" w:hAnsi="宋体" w:eastAsia="宋体" w:cs="宋体"/>
          <w:spacing w:val="-2"/>
          <w:sz w:val="24"/>
          <w:szCs w:val="24"/>
          <w:highlight w:val="none"/>
        </w:rPr>
        <w:t>（三）属于国家规定“三包</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”范围的，其产品质量</w:t>
      </w:r>
      <w:r>
        <w:rPr>
          <w:rFonts w:ascii="宋体" w:hAnsi="宋体" w:eastAsia="宋体" w:cs="宋体"/>
          <w:spacing w:val="-3"/>
          <w:sz w:val="24"/>
          <w:szCs w:val="24"/>
          <w:highlight w:val="none"/>
        </w:rPr>
        <w:t>保证期不得低于“三包</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”规定。</w:t>
      </w:r>
    </w:p>
    <w:p w14:paraId="165F122F">
      <w:pPr>
        <w:spacing w:before="115" w:line="264" w:lineRule="auto"/>
        <w:ind w:left="11" w:right="287" w:firstLine="491"/>
        <w:rPr>
          <w:rFonts w:ascii="宋体" w:hAnsi="宋体" w:eastAsia="宋体" w:cs="宋体"/>
          <w:sz w:val="24"/>
          <w:szCs w:val="24"/>
          <w:highlight w:val="none"/>
        </w:rPr>
      </w:pPr>
      <w:r>
        <w:rPr>
          <w:rFonts w:ascii="宋体" w:hAnsi="宋体" w:eastAsia="宋体" w:cs="宋体"/>
          <w:spacing w:val="-1"/>
          <w:sz w:val="24"/>
          <w:szCs w:val="24"/>
          <w:highlight w:val="none"/>
        </w:rPr>
        <w:t>（四）成交供应商质量保证期承诺优于国家“</w:t>
      </w:r>
      <w:r>
        <w:rPr>
          <w:rFonts w:ascii="宋体" w:hAnsi="宋体" w:eastAsia="宋体" w:cs="宋体"/>
          <w:spacing w:val="-2"/>
          <w:sz w:val="24"/>
          <w:szCs w:val="24"/>
          <w:highlight w:val="none"/>
        </w:rPr>
        <w:t>三包</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”规定的，按成交供应商实际承诺</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执行。</w:t>
      </w:r>
    </w:p>
    <w:p w14:paraId="4A4DDE1B">
      <w:pPr>
        <w:spacing w:before="114"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（五）在缺陷责任期内，施工质量缺陷的维护及维修（非人为损坏）均为免费。</w:t>
      </w:r>
    </w:p>
    <w:p w14:paraId="684157F1">
      <w:pPr>
        <w:spacing w:before="115" w:line="265" w:lineRule="auto"/>
        <w:ind w:left="14" w:right="287" w:firstLine="488"/>
        <w:rPr>
          <w:rFonts w:ascii="宋体" w:hAnsi="宋体" w:eastAsia="宋体" w:cs="宋体"/>
          <w:sz w:val="24"/>
          <w:szCs w:val="24"/>
          <w:highlight w:val="none"/>
        </w:rPr>
      </w:pPr>
      <w:r>
        <w:rPr>
          <w:rFonts w:ascii="宋体" w:hAnsi="宋体" w:eastAsia="宋体" w:cs="宋体"/>
          <w:spacing w:val="-1"/>
          <w:sz w:val="24"/>
          <w:szCs w:val="24"/>
          <w:highlight w:val="none"/>
        </w:rPr>
        <w:t>（六）在缺陷责任期内，施工质量缺陷维修均为现场服务，由此产生的费用均不再收</w:t>
      </w:r>
      <w:r>
        <w:rPr>
          <w:rFonts w:ascii="宋体" w:hAnsi="宋体" w:eastAsia="宋体" w:cs="宋体"/>
          <w:spacing w:val="15"/>
          <w:sz w:val="24"/>
          <w:szCs w:val="24"/>
          <w:highlight w:val="none"/>
        </w:rPr>
        <w:t xml:space="preserve"> </w:t>
      </w:r>
      <w:r>
        <w:rPr>
          <w:rFonts w:ascii="宋体" w:hAnsi="宋体" w:eastAsia="宋体" w:cs="宋体"/>
          <w:spacing w:val="-7"/>
          <w:sz w:val="24"/>
          <w:szCs w:val="24"/>
          <w:highlight w:val="none"/>
        </w:rPr>
        <w:t>取。</w:t>
      </w:r>
    </w:p>
    <w:p w14:paraId="4EADD106">
      <w:pPr>
        <w:spacing w:before="110" w:line="264" w:lineRule="auto"/>
        <w:ind w:right="287" w:firstLine="503"/>
        <w:rPr>
          <w:rFonts w:ascii="宋体" w:hAnsi="宋体" w:eastAsia="宋体" w:cs="宋体"/>
          <w:sz w:val="24"/>
          <w:szCs w:val="24"/>
          <w:highlight w:val="none"/>
        </w:rPr>
      </w:pPr>
      <w:r>
        <w:rPr>
          <w:rFonts w:ascii="宋体" w:hAnsi="宋体" w:eastAsia="宋体" w:cs="宋体"/>
          <w:spacing w:val="-1"/>
          <w:sz w:val="24"/>
          <w:szCs w:val="24"/>
          <w:highlight w:val="none"/>
        </w:rPr>
        <w:t>（七）符合国家和重庆市现行工程建设法律法规和管理规范要求，工程质量等级达到</w:t>
      </w:r>
      <w:r>
        <w:rPr>
          <w:rFonts w:ascii="宋体" w:hAnsi="宋体" w:eastAsia="宋体" w:cs="宋体"/>
          <w:spacing w:val="15"/>
          <w:sz w:val="24"/>
          <w:szCs w:val="24"/>
          <w:highlight w:val="none"/>
        </w:rPr>
        <w:t xml:space="preserve"> </w:t>
      </w:r>
      <w:r>
        <w:rPr>
          <w:rFonts w:ascii="宋体" w:hAnsi="宋体" w:eastAsia="宋体" w:cs="宋体"/>
          <w:spacing w:val="-5"/>
          <w:sz w:val="24"/>
          <w:szCs w:val="24"/>
          <w:highlight w:val="none"/>
        </w:rPr>
        <w:t>“合格</w:t>
      </w:r>
      <w:r>
        <w:rPr>
          <w:rFonts w:ascii="宋体" w:hAnsi="宋体" w:eastAsia="宋体" w:cs="宋体"/>
          <w:spacing w:val="-84"/>
          <w:sz w:val="24"/>
          <w:szCs w:val="24"/>
          <w:highlight w:val="none"/>
        </w:rPr>
        <w:t xml:space="preserve"> </w:t>
      </w:r>
      <w:r>
        <w:rPr>
          <w:rFonts w:ascii="宋体" w:hAnsi="宋体" w:eastAsia="宋体" w:cs="宋体"/>
          <w:spacing w:val="-5"/>
          <w:sz w:val="24"/>
          <w:szCs w:val="24"/>
          <w:highlight w:val="none"/>
        </w:rPr>
        <w:t>”标准。</w:t>
      </w:r>
    </w:p>
    <w:p w14:paraId="57CBEB93">
      <w:pPr>
        <w:spacing w:before="115" w:line="294" w:lineRule="auto"/>
        <w:ind w:left="12" w:firstLine="496"/>
        <w:rPr>
          <w:rFonts w:ascii="宋体" w:hAnsi="宋体" w:eastAsia="宋体" w:cs="宋体"/>
          <w:sz w:val="24"/>
          <w:szCs w:val="24"/>
          <w:highlight w:val="none"/>
        </w:rPr>
      </w:pPr>
      <w:r>
        <w:rPr>
          <w:rFonts w:ascii="宋体" w:hAnsi="宋体" w:eastAsia="宋体" w:cs="宋体"/>
          <w:spacing w:val="-1"/>
          <w:sz w:val="24"/>
          <w:szCs w:val="24"/>
          <w:highlight w:val="none"/>
        </w:rPr>
        <w:t>1.入围供应商产品属于国家规定“三包</w:t>
      </w:r>
      <w:r>
        <w:rPr>
          <w:rFonts w:ascii="宋体" w:hAnsi="宋体" w:eastAsia="宋体" w:cs="宋体"/>
          <w:spacing w:val="-88"/>
          <w:sz w:val="24"/>
          <w:szCs w:val="24"/>
          <w:highlight w:val="none"/>
        </w:rPr>
        <w:t xml:space="preserve"> </w:t>
      </w:r>
      <w:r>
        <w:rPr>
          <w:rFonts w:ascii="宋体" w:hAnsi="宋体" w:eastAsia="宋体" w:cs="宋体"/>
          <w:spacing w:val="-1"/>
          <w:sz w:val="24"/>
          <w:szCs w:val="24"/>
          <w:highlight w:val="none"/>
        </w:rPr>
        <w:t>”范围的，其产品质量保证期不得</w:t>
      </w:r>
      <w:r>
        <w:rPr>
          <w:rFonts w:ascii="宋体" w:hAnsi="宋体" w:eastAsia="宋体" w:cs="宋体"/>
          <w:spacing w:val="-2"/>
          <w:sz w:val="24"/>
          <w:szCs w:val="24"/>
          <w:highlight w:val="none"/>
        </w:rPr>
        <w:t>低于“三包</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规定。</w:t>
      </w:r>
    </w:p>
    <w:p w14:paraId="61B329B7">
      <w:pPr>
        <w:spacing w:before="35" w:line="295" w:lineRule="auto"/>
        <w:ind w:left="495" w:right="807" w:hanging="1"/>
        <w:rPr>
          <w:rFonts w:ascii="宋体" w:hAnsi="宋体" w:eastAsia="宋体" w:cs="宋体"/>
          <w:sz w:val="24"/>
          <w:szCs w:val="24"/>
          <w:highlight w:val="none"/>
        </w:rPr>
      </w:pPr>
      <w:r>
        <w:rPr>
          <w:rFonts w:ascii="宋体" w:hAnsi="宋体" w:eastAsia="宋体" w:cs="宋体"/>
          <w:spacing w:val="-2"/>
          <w:sz w:val="24"/>
          <w:szCs w:val="24"/>
          <w:highlight w:val="none"/>
        </w:rPr>
        <w:t>2.供应商的质量保证期承诺优于国家“三包</w:t>
      </w:r>
      <w:r>
        <w:rPr>
          <w:rFonts w:ascii="宋体" w:hAnsi="宋体" w:eastAsia="宋体" w:cs="宋体"/>
          <w:spacing w:val="-89"/>
          <w:sz w:val="24"/>
          <w:szCs w:val="24"/>
          <w:highlight w:val="none"/>
        </w:rPr>
        <w:t xml:space="preserve"> </w:t>
      </w:r>
      <w:r>
        <w:rPr>
          <w:rFonts w:ascii="宋体" w:hAnsi="宋体" w:eastAsia="宋体" w:cs="宋体"/>
          <w:spacing w:val="-2"/>
          <w:sz w:val="24"/>
          <w:szCs w:val="24"/>
          <w:highlight w:val="none"/>
        </w:rPr>
        <w:t>”规定</w:t>
      </w:r>
      <w:r>
        <w:rPr>
          <w:rFonts w:ascii="宋体" w:hAnsi="宋体" w:eastAsia="宋体" w:cs="宋体"/>
          <w:spacing w:val="-3"/>
          <w:sz w:val="24"/>
          <w:szCs w:val="24"/>
          <w:highlight w:val="none"/>
        </w:rPr>
        <w:t>的，按供应商实际承诺执行。</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3.供应商的质量保证期承诺优于招标文件规定的，按供应商实际承诺执行。</w:t>
      </w:r>
    </w:p>
    <w:p w14:paraId="1D1AA352">
      <w:pPr>
        <w:spacing w:before="95" w:line="219" w:lineRule="auto"/>
        <w:ind w:left="501"/>
        <w:rPr>
          <w:rFonts w:ascii="宋体" w:hAnsi="宋体" w:eastAsia="宋体" w:cs="宋体"/>
          <w:spacing w:val="7"/>
          <w:sz w:val="24"/>
          <w:szCs w:val="24"/>
          <w:highlight w:val="none"/>
        </w:rPr>
      </w:pPr>
      <w:r>
        <w:rPr>
          <w:rFonts w:ascii="宋体" w:hAnsi="宋体" w:eastAsia="宋体" w:cs="宋体"/>
          <w:spacing w:val="-3"/>
          <w:sz w:val="24"/>
          <w:szCs w:val="24"/>
          <w:highlight w:val="none"/>
        </w:rPr>
        <w:t>4.入围供应商按要求提供免费维修服务。</w:t>
      </w:r>
      <w:r>
        <w:rPr>
          <w:rFonts w:ascii="宋体" w:hAnsi="宋体" w:eastAsia="宋体" w:cs="宋体"/>
          <w:spacing w:val="7"/>
          <w:sz w:val="24"/>
          <w:szCs w:val="24"/>
          <w:highlight w:val="none"/>
        </w:rPr>
        <w:t xml:space="preserve"> </w:t>
      </w:r>
    </w:p>
    <w:p w14:paraId="0D319898">
      <w:pPr>
        <w:spacing w:before="95" w:line="219" w:lineRule="auto"/>
        <w:ind w:left="501"/>
        <w:rPr>
          <w:rFonts w:ascii="宋体" w:hAnsi="宋体" w:eastAsia="宋体" w:cs="宋体"/>
          <w:sz w:val="24"/>
          <w:szCs w:val="24"/>
          <w:highlight w:val="none"/>
        </w:rPr>
      </w:pPr>
      <w:r>
        <w:rPr>
          <w:rFonts w:ascii="宋体" w:hAnsi="宋体" w:eastAsia="宋体" w:cs="宋体"/>
          <w:spacing w:val="-5"/>
          <w:sz w:val="24"/>
          <w:szCs w:val="24"/>
          <w:highlight w:val="none"/>
        </w:rPr>
        <w:t>※四、付款方式</w:t>
      </w:r>
    </w:p>
    <w:p w14:paraId="4D605F24">
      <w:pPr>
        <w:spacing w:before="116" w:line="219" w:lineRule="auto"/>
        <w:ind w:left="434"/>
        <w:outlineLvl w:val="1"/>
        <w:rPr>
          <w:rFonts w:ascii="宋体" w:hAnsi="宋体" w:eastAsia="宋体" w:cs="宋体"/>
          <w:sz w:val="24"/>
          <w:szCs w:val="24"/>
          <w:highlight w:val="none"/>
        </w:rPr>
      </w:pPr>
      <w:r>
        <w:rPr>
          <w:rFonts w:ascii="宋体" w:hAnsi="宋体" w:eastAsia="宋体" w:cs="宋体"/>
          <w:spacing w:val="-2"/>
          <w:sz w:val="24"/>
          <w:szCs w:val="24"/>
          <w:highlight w:val="none"/>
        </w:rPr>
        <w:t>（一）维修费支付条件：</w:t>
      </w:r>
    </w:p>
    <w:p w14:paraId="207F000A">
      <w:pPr>
        <w:spacing w:before="113" w:line="218" w:lineRule="auto"/>
        <w:ind w:left="427"/>
        <w:outlineLvl w:val="1"/>
        <w:rPr>
          <w:rFonts w:ascii="宋体" w:hAnsi="宋体" w:eastAsia="宋体" w:cs="宋体"/>
          <w:sz w:val="24"/>
          <w:szCs w:val="24"/>
          <w:highlight w:val="none"/>
        </w:rPr>
      </w:pPr>
      <w:r>
        <w:rPr>
          <w:rFonts w:ascii="宋体" w:hAnsi="宋体" w:eastAsia="宋体" w:cs="宋体"/>
          <w:sz w:val="24"/>
          <w:szCs w:val="24"/>
          <w:highlight w:val="none"/>
        </w:rPr>
        <w:t>维修项目经甲方验收合格。现场收方、签证、认质</w:t>
      </w:r>
      <w:r>
        <w:rPr>
          <w:rFonts w:ascii="宋体" w:hAnsi="宋体" w:eastAsia="宋体" w:cs="宋体"/>
          <w:spacing w:val="-1"/>
          <w:sz w:val="24"/>
          <w:szCs w:val="24"/>
          <w:highlight w:val="none"/>
        </w:rPr>
        <w:t>核价、竣工验收，结算资料按甲方</w:t>
      </w:r>
    </w:p>
    <w:p w14:paraId="1A192CEB">
      <w:pPr>
        <w:spacing w:before="117" w:line="219" w:lineRule="auto"/>
        <w:ind w:left="1"/>
        <w:rPr>
          <w:rFonts w:ascii="宋体" w:hAnsi="宋体" w:eastAsia="宋体" w:cs="宋体"/>
          <w:sz w:val="24"/>
          <w:szCs w:val="24"/>
          <w:highlight w:val="none"/>
        </w:rPr>
      </w:pPr>
      <w:r>
        <w:rPr>
          <w:rFonts w:ascii="宋体" w:hAnsi="宋体" w:eastAsia="宋体" w:cs="宋体"/>
          <w:spacing w:val="-2"/>
          <w:sz w:val="24"/>
          <w:szCs w:val="24"/>
          <w:highlight w:val="none"/>
        </w:rPr>
        <w:t>要求的必备资料齐全。</w:t>
      </w:r>
    </w:p>
    <w:p w14:paraId="25B10631">
      <w:pPr>
        <w:spacing w:before="116" w:line="219" w:lineRule="auto"/>
        <w:ind w:left="434"/>
        <w:outlineLvl w:val="1"/>
        <w:rPr>
          <w:rFonts w:ascii="宋体" w:hAnsi="宋体" w:eastAsia="宋体" w:cs="宋体"/>
          <w:sz w:val="24"/>
          <w:szCs w:val="24"/>
          <w:highlight w:val="none"/>
        </w:rPr>
      </w:pPr>
      <w:r>
        <w:rPr>
          <w:rFonts w:ascii="宋体" w:hAnsi="宋体" w:eastAsia="宋体" w:cs="宋体"/>
          <w:spacing w:val="-3"/>
          <w:sz w:val="24"/>
          <w:szCs w:val="24"/>
          <w:highlight w:val="none"/>
        </w:rPr>
        <w:t>（二）维修费按每年 2</w:t>
      </w:r>
      <w:r>
        <w:rPr>
          <w:rFonts w:ascii="宋体" w:hAnsi="宋体" w:eastAsia="宋体" w:cs="宋体"/>
          <w:spacing w:val="23"/>
          <w:sz w:val="24"/>
          <w:szCs w:val="24"/>
          <w:highlight w:val="none"/>
        </w:rPr>
        <w:t xml:space="preserve"> </w:t>
      </w:r>
      <w:r>
        <w:rPr>
          <w:rFonts w:ascii="宋体" w:hAnsi="宋体" w:eastAsia="宋体" w:cs="宋体"/>
          <w:spacing w:val="-3"/>
          <w:sz w:val="24"/>
          <w:szCs w:val="24"/>
          <w:highlight w:val="none"/>
        </w:rPr>
        <w:t>次支付：</w:t>
      </w:r>
    </w:p>
    <w:p w14:paraId="38B59323">
      <w:pPr>
        <w:spacing w:before="114" w:line="219" w:lineRule="auto"/>
        <w:ind w:left="441"/>
        <w:outlineLvl w:val="1"/>
        <w:rPr>
          <w:rFonts w:ascii="宋体" w:hAnsi="宋体" w:eastAsia="宋体" w:cs="宋体"/>
          <w:sz w:val="24"/>
          <w:szCs w:val="24"/>
          <w:highlight w:val="none"/>
        </w:rPr>
      </w:pPr>
      <w:r>
        <w:rPr>
          <w:rFonts w:ascii="宋体" w:hAnsi="宋体" w:eastAsia="宋体" w:cs="宋体"/>
          <w:spacing w:val="-9"/>
          <w:sz w:val="24"/>
          <w:szCs w:val="24"/>
          <w:highlight w:val="none"/>
        </w:rPr>
        <w:t>1、3月1日至9月1日期间的维修费，在当年10月30日前支付；</w:t>
      </w:r>
    </w:p>
    <w:p w14:paraId="1AA274F6">
      <w:pPr>
        <w:spacing w:before="116" w:line="219" w:lineRule="auto"/>
        <w:ind w:left="426"/>
        <w:outlineLvl w:val="1"/>
        <w:rPr>
          <w:rFonts w:ascii="宋体" w:hAnsi="宋体" w:eastAsia="宋体" w:cs="宋体"/>
          <w:sz w:val="24"/>
          <w:szCs w:val="24"/>
          <w:highlight w:val="none"/>
        </w:rPr>
      </w:pPr>
      <w:r>
        <w:rPr>
          <w:rFonts w:ascii="宋体" w:hAnsi="宋体" w:eastAsia="宋体" w:cs="宋体"/>
          <w:spacing w:val="-7"/>
          <w:sz w:val="24"/>
          <w:szCs w:val="24"/>
          <w:highlight w:val="none"/>
        </w:rPr>
        <w:t>2、9月1日至次年3月1日期间的维修</w:t>
      </w:r>
      <w:r>
        <w:rPr>
          <w:rFonts w:ascii="宋体" w:hAnsi="宋体" w:eastAsia="宋体" w:cs="宋体"/>
          <w:spacing w:val="-8"/>
          <w:sz w:val="24"/>
          <w:szCs w:val="24"/>
          <w:highlight w:val="none"/>
        </w:rPr>
        <w:t>费，在次年4月30日前支付。</w:t>
      </w:r>
    </w:p>
    <w:p w14:paraId="23AAD7DE">
      <w:pPr>
        <w:spacing w:before="116" w:line="219" w:lineRule="auto"/>
        <w:ind w:left="434"/>
        <w:outlineLvl w:val="1"/>
        <w:rPr>
          <w:rFonts w:ascii="宋体" w:hAnsi="宋体" w:eastAsia="宋体" w:cs="宋体"/>
          <w:sz w:val="24"/>
          <w:szCs w:val="24"/>
          <w:highlight w:val="none"/>
        </w:rPr>
      </w:pPr>
      <w:r>
        <w:rPr>
          <w:rFonts w:ascii="宋体" w:hAnsi="宋体" w:eastAsia="宋体" w:cs="宋体"/>
          <w:spacing w:val="1"/>
          <w:sz w:val="24"/>
          <w:szCs w:val="24"/>
          <w:highlight w:val="none"/>
        </w:rPr>
        <w:t>（三）质保金：结算总金额的 3% 作为质量保证金，质保期（1年/6个月</w:t>
      </w:r>
      <w:r>
        <w:rPr>
          <w:rFonts w:ascii="宋体" w:hAnsi="宋体" w:eastAsia="宋体" w:cs="宋体"/>
          <w:sz w:val="24"/>
          <w:szCs w:val="24"/>
          <w:highlight w:val="none"/>
        </w:rPr>
        <w:t>，按包号</w:t>
      </w:r>
    </w:p>
    <w:p w14:paraId="17EC7646">
      <w:pPr>
        <w:spacing w:before="113" w:line="219" w:lineRule="auto"/>
        <w:rPr>
          <w:rFonts w:ascii="宋体" w:hAnsi="宋体" w:eastAsia="宋体" w:cs="宋体"/>
          <w:sz w:val="24"/>
          <w:szCs w:val="24"/>
          <w:highlight w:val="none"/>
        </w:rPr>
      </w:pPr>
      <w:r>
        <w:rPr>
          <w:rFonts w:ascii="宋体" w:hAnsi="宋体" w:eastAsia="宋体" w:cs="宋体"/>
          <w:sz w:val="24"/>
          <w:szCs w:val="24"/>
          <w:highlight w:val="none"/>
        </w:rPr>
        <w:t xml:space="preserve">对应条款）满且无质量问题后，甲方在 15 </w:t>
      </w:r>
      <w:r>
        <w:rPr>
          <w:rFonts w:ascii="宋体" w:hAnsi="宋体" w:eastAsia="宋体" w:cs="宋体"/>
          <w:spacing w:val="-1"/>
          <w:sz w:val="24"/>
          <w:szCs w:val="24"/>
          <w:highlight w:val="none"/>
        </w:rPr>
        <w:t>个工作日内无息退还。</w:t>
      </w:r>
    </w:p>
    <w:p w14:paraId="220F642F">
      <w:pPr>
        <w:spacing w:before="116" w:line="219" w:lineRule="auto"/>
        <w:ind w:left="434"/>
        <w:outlineLvl w:val="1"/>
        <w:rPr>
          <w:rFonts w:ascii="宋体" w:hAnsi="宋体" w:eastAsia="宋体" w:cs="宋体"/>
          <w:sz w:val="24"/>
          <w:szCs w:val="24"/>
          <w:highlight w:val="none"/>
        </w:rPr>
      </w:pPr>
      <w:r>
        <w:rPr>
          <w:rFonts w:ascii="宋体" w:hAnsi="宋体" w:eastAsia="宋体" w:cs="宋体"/>
          <w:spacing w:val="-1"/>
          <w:sz w:val="24"/>
          <w:szCs w:val="24"/>
          <w:highlight w:val="none"/>
        </w:rPr>
        <w:t>（四）发票要求：乙方需提供合法有效的增值税普通发票，否则甲方有权顺延付款。</w:t>
      </w:r>
    </w:p>
    <w:p w14:paraId="0DE20C46">
      <w:pPr>
        <w:spacing w:before="117" w:line="219" w:lineRule="auto"/>
        <w:ind w:left="444"/>
        <w:outlineLvl w:val="1"/>
        <w:rPr>
          <w:rFonts w:ascii="宋体" w:hAnsi="宋体" w:eastAsia="宋体" w:cs="宋体"/>
          <w:sz w:val="24"/>
          <w:szCs w:val="24"/>
          <w:highlight w:val="none"/>
        </w:rPr>
      </w:pPr>
      <w:r>
        <w:rPr>
          <w:rFonts w:ascii="宋体" w:hAnsi="宋体" w:eastAsia="宋体" w:cs="宋体"/>
          <w:spacing w:val="-5"/>
          <w:sz w:val="24"/>
          <w:szCs w:val="24"/>
          <w:highlight w:val="none"/>
        </w:rPr>
        <w:t>※五、知识产权</w:t>
      </w:r>
    </w:p>
    <w:p w14:paraId="7BD98E2A">
      <w:pPr>
        <w:spacing w:before="115" w:line="299" w:lineRule="auto"/>
        <w:ind w:left="1" w:right="52" w:firstLine="478"/>
        <w:jc w:val="both"/>
        <w:rPr>
          <w:rFonts w:ascii="宋体" w:hAnsi="宋体" w:eastAsia="宋体" w:cs="宋体"/>
          <w:sz w:val="24"/>
          <w:szCs w:val="24"/>
          <w:highlight w:val="none"/>
        </w:rPr>
      </w:pPr>
      <w:r>
        <w:rPr>
          <w:rFonts w:ascii="宋体" w:hAnsi="宋体" w:eastAsia="宋体" w:cs="宋体"/>
          <w:sz w:val="24"/>
          <w:szCs w:val="24"/>
          <w:highlight w:val="none"/>
        </w:rPr>
        <w:t>采购人在中华人民共和国境内使用供应商提供的货物及服务时</w:t>
      </w:r>
      <w:r>
        <w:rPr>
          <w:rFonts w:ascii="宋体" w:hAnsi="宋体" w:eastAsia="宋体" w:cs="宋体"/>
          <w:spacing w:val="-1"/>
          <w:sz w:val="24"/>
          <w:szCs w:val="24"/>
          <w:highlight w:val="none"/>
        </w:rPr>
        <w:t>免受第三方提出的侵犯</w:t>
      </w:r>
      <w:r>
        <w:rPr>
          <w:rFonts w:ascii="宋体" w:hAnsi="宋体" w:eastAsia="宋体" w:cs="宋体"/>
          <w:sz w:val="24"/>
          <w:szCs w:val="24"/>
          <w:highlight w:val="none"/>
        </w:rPr>
        <w:t xml:space="preserve"> 其专利权或其它知识产权的起诉。如果第三方提出侵权指控，</w:t>
      </w:r>
      <w:r>
        <w:rPr>
          <w:rFonts w:ascii="宋体" w:hAnsi="宋体" w:eastAsia="宋体" w:cs="宋体"/>
          <w:spacing w:val="-1"/>
          <w:sz w:val="24"/>
          <w:szCs w:val="24"/>
          <w:highlight w:val="none"/>
        </w:rPr>
        <w:t>入围供应商应承担由此而引</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起的一切法律责任和费用。</w:t>
      </w:r>
    </w:p>
    <w:p w14:paraId="7253F7C8">
      <w:pPr>
        <w:spacing w:before="32" w:line="219" w:lineRule="auto"/>
        <w:ind w:left="504"/>
        <w:outlineLvl w:val="1"/>
        <w:rPr>
          <w:rFonts w:ascii="宋体" w:hAnsi="宋体" w:eastAsia="宋体" w:cs="宋体"/>
          <w:sz w:val="24"/>
          <w:szCs w:val="24"/>
          <w:highlight w:val="none"/>
        </w:rPr>
      </w:pPr>
      <w:r>
        <w:rPr>
          <w:rFonts w:ascii="宋体" w:hAnsi="宋体" w:eastAsia="宋体" w:cs="宋体"/>
          <w:spacing w:val="-2"/>
          <w:sz w:val="24"/>
          <w:szCs w:val="24"/>
          <w:highlight w:val="none"/>
        </w:rPr>
        <w:t>※六、其他商务要求（包装和运输，保险等）</w:t>
      </w:r>
    </w:p>
    <w:p w14:paraId="1ECC91EB">
      <w:pPr>
        <w:spacing w:before="115" w:line="264" w:lineRule="auto"/>
        <w:ind w:left="24" w:right="52" w:firstLine="467"/>
        <w:rPr>
          <w:rFonts w:ascii="宋体" w:hAnsi="宋体" w:eastAsia="宋体" w:cs="宋体"/>
          <w:sz w:val="24"/>
          <w:szCs w:val="24"/>
          <w:highlight w:val="none"/>
        </w:rPr>
      </w:pPr>
      <w:r>
        <w:rPr>
          <w:rFonts w:ascii="宋体" w:hAnsi="宋体" w:eastAsia="宋体" w:cs="宋体"/>
          <w:spacing w:val="-1"/>
          <w:sz w:val="24"/>
          <w:szCs w:val="24"/>
          <w:highlight w:val="none"/>
        </w:rPr>
        <w:t>（一）主要货物到达现场后，入围供应商应在使用单位人员在场情况下当面开箱，共</w:t>
      </w:r>
      <w:r>
        <w:rPr>
          <w:rFonts w:ascii="宋体" w:hAnsi="宋体" w:eastAsia="宋体" w:cs="宋体"/>
          <w:spacing w:val="15"/>
          <w:sz w:val="24"/>
          <w:szCs w:val="24"/>
          <w:highlight w:val="none"/>
        </w:rPr>
        <w:t xml:space="preserve"> </w:t>
      </w:r>
      <w:r>
        <w:rPr>
          <w:rFonts w:ascii="宋体" w:hAnsi="宋体" w:eastAsia="宋体" w:cs="宋体"/>
          <w:spacing w:val="-2"/>
          <w:sz w:val="24"/>
          <w:szCs w:val="24"/>
          <w:highlight w:val="none"/>
        </w:rPr>
        <w:t>同清点、检查外观，作出开箱记录，双方签字确认。</w:t>
      </w:r>
    </w:p>
    <w:p w14:paraId="1E87BCE6">
      <w:pPr>
        <w:spacing w:before="113" w:line="264" w:lineRule="auto"/>
        <w:ind w:left="5" w:firstLine="486"/>
        <w:rPr>
          <w:rFonts w:ascii="宋体" w:hAnsi="宋体" w:eastAsia="宋体" w:cs="宋体"/>
          <w:sz w:val="24"/>
          <w:szCs w:val="24"/>
          <w:highlight w:val="none"/>
        </w:rPr>
      </w:pPr>
      <w:r>
        <w:rPr>
          <w:rFonts w:ascii="宋体" w:hAnsi="宋体" w:eastAsia="宋体" w:cs="宋体"/>
          <w:spacing w:val="-2"/>
          <w:sz w:val="24"/>
          <w:szCs w:val="24"/>
          <w:highlight w:val="none"/>
        </w:rPr>
        <w:t>（二）入围供应商应保证货物到达采购人所在地完好无</w:t>
      </w:r>
      <w:r>
        <w:rPr>
          <w:rFonts w:ascii="宋体" w:hAnsi="宋体" w:eastAsia="宋体" w:cs="宋体"/>
          <w:spacing w:val="-3"/>
          <w:sz w:val="24"/>
          <w:szCs w:val="24"/>
          <w:highlight w:val="none"/>
        </w:rPr>
        <w:t>损，如有缺 漏、损坏，由供应</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商负责调换、补齐或赔偿。</w:t>
      </w:r>
    </w:p>
    <w:p w14:paraId="3148BBA1">
      <w:pPr>
        <w:spacing w:before="115" w:line="263" w:lineRule="auto"/>
        <w:ind w:left="20" w:right="52" w:firstLine="471"/>
        <w:rPr>
          <w:rFonts w:ascii="宋体" w:hAnsi="宋体" w:eastAsia="宋体" w:cs="宋体"/>
          <w:sz w:val="24"/>
          <w:szCs w:val="24"/>
          <w:highlight w:val="none"/>
        </w:rPr>
      </w:pPr>
      <w:r>
        <w:rPr>
          <w:rFonts w:ascii="宋体" w:hAnsi="宋体" w:eastAsia="宋体" w:cs="宋体"/>
          <w:spacing w:val="-1"/>
          <w:sz w:val="24"/>
          <w:szCs w:val="24"/>
          <w:highlight w:val="none"/>
        </w:rPr>
        <w:t>（三）入围供应商提供的货物未达到竞争性比选文件规定要求，且对采购人造成损失</w:t>
      </w:r>
      <w:r>
        <w:rPr>
          <w:rFonts w:ascii="宋体" w:hAnsi="宋体" w:eastAsia="宋体" w:cs="宋体"/>
          <w:spacing w:val="15"/>
          <w:sz w:val="24"/>
          <w:szCs w:val="24"/>
          <w:highlight w:val="none"/>
        </w:rPr>
        <w:t xml:space="preserve"> </w:t>
      </w:r>
      <w:r>
        <w:rPr>
          <w:rFonts w:ascii="宋体" w:hAnsi="宋体" w:eastAsia="宋体" w:cs="宋体"/>
          <w:spacing w:val="-1"/>
          <w:sz w:val="24"/>
          <w:szCs w:val="24"/>
          <w:highlight w:val="none"/>
        </w:rPr>
        <w:t>的，由入围供应商承担一切责任，并赔偿所</w:t>
      </w:r>
      <w:r>
        <w:rPr>
          <w:rFonts w:ascii="宋体" w:hAnsi="宋体" w:eastAsia="宋体" w:cs="宋体"/>
          <w:spacing w:val="-2"/>
          <w:sz w:val="24"/>
          <w:szCs w:val="24"/>
          <w:highlight w:val="none"/>
        </w:rPr>
        <w:t>造成的损失。</w:t>
      </w:r>
    </w:p>
    <w:p w14:paraId="3D664BE7">
      <w:pPr>
        <w:spacing w:before="118" w:line="263" w:lineRule="auto"/>
        <w:ind w:firstLine="491"/>
        <w:rPr>
          <w:rFonts w:ascii="宋体" w:hAnsi="宋体" w:eastAsia="宋体" w:cs="宋体"/>
          <w:sz w:val="24"/>
          <w:szCs w:val="24"/>
          <w:highlight w:val="none"/>
        </w:rPr>
      </w:pPr>
      <w:r>
        <w:rPr>
          <w:rFonts w:ascii="宋体" w:hAnsi="宋体" w:eastAsia="宋体" w:cs="宋体"/>
          <w:spacing w:val="-2"/>
          <w:sz w:val="24"/>
          <w:szCs w:val="24"/>
          <w:highlight w:val="none"/>
        </w:rPr>
        <w:t>（四）采购人需要制造商对入围供应商交付的产品（包</w:t>
      </w:r>
      <w:r>
        <w:rPr>
          <w:rFonts w:ascii="宋体" w:hAnsi="宋体" w:eastAsia="宋体" w:cs="宋体"/>
          <w:spacing w:val="-3"/>
          <w:sz w:val="24"/>
          <w:szCs w:val="24"/>
          <w:highlight w:val="none"/>
        </w:rPr>
        <w:t>括质量、技术 参数等）进行确</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认的，制造商应予以配合，并出具书面意见。</w:t>
      </w:r>
    </w:p>
    <w:p w14:paraId="37AE0682">
      <w:pPr>
        <w:spacing w:before="114" w:line="220" w:lineRule="auto"/>
        <w:ind w:left="501"/>
        <w:rPr>
          <w:rFonts w:ascii="宋体" w:hAnsi="宋体" w:eastAsia="宋体" w:cs="宋体"/>
          <w:sz w:val="24"/>
          <w:szCs w:val="24"/>
          <w:highlight w:val="none"/>
        </w:rPr>
      </w:pPr>
      <w:r>
        <w:rPr>
          <w:rFonts w:ascii="宋体" w:hAnsi="宋体" w:eastAsia="宋体" w:cs="宋体"/>
          <w:spacing w:val="-7"/>
          <w:sz w:val="24"/>
          <w:szCs w:val="24"/>
          <w:highlight w:val="none"/>
        </w:rPr>
        <w:t>※七、其他</w:t>
      </w:r>
    </w:p>
    <w:p w14:paraId="436B5B54">
      <w:pPr>
        <w:spacing w:before="114"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（一）其他未尽事宜由采购人和入围供应商双方在采购合同中补充约定。</w:t>
      </w:r>
    </w:p>
    <w:p w14:paraId="026A0269">
      <w:pPr>
        <w:spacing w:line="219" w:lineRule="auto"/>
        <w:rPr>
          <w:rFonts w:ascii="宋体" w:hAnsi="宋体" w:eastAsia="宋体" w:cs="宋体"/>
          <w:sz w:val="24"/>
          <w:szCs w:val="24"/>
          <w:highlight w:val="none"/>
        </w:rPr>
        <w:sectPr>
          <w:footerReference r:id="rId9" w:type="default"/>
          <w:pgSz w:w="11907" w:h="16840"/>
          <w:pgMar w:top="933" w:right="1190" w:bottom="1200" w:left="1311" w:header="0" w:footer="996" w:gutter="0"/>
          <w:cols w:space="720" w:num="1"/>
        </w:sectPr>
      </w:pPr>
    </w:p>
    <w:p w14:paraId="603BCF8B">
      <w:pPr>
        <w:spacing w:before="44" w:line="216" w:lineRule="auto"/>
        <w:ind w:left="235"/>
        <w:outlineLvl w:val="1"/>
        <w:rPr>
          <w:rFonts w:ascii="微软雅黑" w:hAnsi="微软雅黑" w:eastAsia="微软雅黑" w:cs="微软雅黑"/>
          <w:sz w:val="35"/>
          <w:szCs w:val="35"/>
          <w:highlight w:val="none"/>
        </w:rPr>
      </w:pPr>
      <w:bookmarkStart w:id="42" w:name="bookmark22"/>
      <w:bookmarkEnd w:id="42"/>
      <w:r>
        <w:rPr>
          <w:rFonts w:ascii="微软雅黑" w:hAnsi="微软雅黑" w:eastAsia="微软雅黑" w:cs="微软雅黑"/>
          <w:spacing w:val="5"/>
          <w:sz w:val="35"/>
          <w:szCs w:val="35"/>
          <w:highlight w:val="none"/>
        </w:rPr>
        <w:t>第四篇</w:t>
      </w:r>
      <w:r>
        <w:rPr>
          <w:rFonts w:ascii="微软雅黑" w:hAnsi="微软雅黑" w:eastAsia="微软雅黑" w:cs="微软雅黑"/>
          <w:spacing w:val="88"/>
          <w:sz w:val="35"/>
          <w:szCs w:val="35"/>
          <w:highlight w:val="none"/>
        </w:rPr>
        <w:t xml:space="preserve"> </w:t>
      </w:r>
      <w:r>
        <w:rPr>
          <w:rFonts w:ascii="微软雅黑" w:hAnsi="微软雅黑" w:eastAsia="微软雅黑" w:cs="微软雅黑"/>
          <w:spacing w:val="5"/>
          <w:sz w:val="35"/>
          <w:szCs w:val="35"/>
          <w:highlight w:val="none"/>
        </w:rPr>
        <w:t>评标程序及方法</w:t>
      </w:r>
      <w:r>
        <w:rPr>
          <w:rFonts w:ascii="微软雅黑" w:hAnsi="微软雅黑" w:eastAsia="微软雅黑" w:cs="微软雅黑"/>
          <w:spacing w:val="-51"/>
          <w:sz w:val="35"/>
          <w:szCs w:val="35"/>
          <w:highlight w:val="none"/>
        </w:rPr>
        <w:t xml:space="preserve"> </w:t>
      </w:r>
      <w:r>
        <w:rPr>
          <w:rFonts w:ascii="微软雅黑" w:hAnsi="微软雅黑" w:eastAsia="微软雅黑" w:cs="微软雅黑"/>
          <w:spacing w:val="5"/>
          <w:sz w:val="35"/>
          <w:szCs w:val="35"/>
          <w:highlight w:val="none"/>
        </w:rPr>
        <w:t>、评审标准</w:t>
      </w:r>
      <w:r>
        <w:rPr>
          <w:rFonts w:ascii="微软雅黑" w:hAnsi="微软雅黑" w:eastAsia="微软雅黑" w:cs="微软雅黑"/>
          <w:spacing w:val="-50"/>
          <w:sz w:val="35"/>
          <w:szCs w:val="35"/>
          <w:highlight w:val="none"/>
        </w:rPr>
        <w:t xml:space="preserve"> </w:t>
      </w:r>
      <w:r>
        <w:rPr>
          <w:rFonts w:ascii="微软雅黑" w:hAnsi="微软雅黑" w:eastAsia="微软雅黑" w:cs="微软雅黑"/>
          <w:spacing w:val="5"/>
          <w:sz w:val="35"/>
          <w:szCs w:val="35"/>
          <w:highlight w:val="none"/>
        </w:rPr>
        <w:t>、无效响应和采购终止</w:t>
      </w:r>
    </w:p>
    <w:p w14:paraId="4B8F1D67">
      <w:pPr>
        <w:pStyle w:val="2"/>
        <w:spacing w:line="299" w:lineRule="auto"/>
        <w:rPr>
          <w:highlight w:val="none"/>
        </w:rPr>
      </w:pPr>
    </w:p>
    <w:p w14:paraId="70BF02FA">
      <w:pPr>
        <w:spacing w:before="78" w:line="220" w:lineRule="auto"/>
        <w:ind w:left="605"/>
        <w:outlineLvl w:val="1"/>
        <w:rPr>
          <w:rFonts w:ascii="宋体" w:hAnsi="宋体" w:eastAsia="宋体" w:cs="宋体"/>
          <w:sz w:val="24"/>
          <w:szCs w:val="24"/>
          <w:highlight w:val="none"/>
        </w:rPr>
      </w:pPr>
      <w:r>
        <w:rPr>
          <w:rFonts w:ascii="宋体" w:hAnsi="宋体" w:eastAsia="宋体" w:cs="宋体"/>
          <w:spacing w:val="-2"/>
          <w:sz w:val="24"/>
          <w:szCs w:val="24"/>
          <w:highlight w:val="none"/>
        </w:rPr>
        <w:t>一、评审程序及方法</w:t>
      </w:r>
    </w:p>
    <w:p w14:paraId="4037F8C3">
      <w:pPr>
        <w:spacing w:before="121" w:line="295" w:lineRule="auto"/>
        <w:ind w:left="125" w:right="308" w:firstLine="487"/>
        <w:rPr>
          <w:rFonts w:ascii="宋体" w:hAnsi="宋体" w:eastAsia="宋体" w:cs="宋体"/>
          <w:sz w:val="24"/>
          <w:szCs w:val="24"/>
          <w:highlight w:val="none"/>
        </w:rPr>
      </w:pPr>
      <w:r>
        <w:rPr>
          <w:rFonts w:ascii="宋体" w:hAnsi="宋体" w:eastAsia="宋体" w:cs="宋体"/>
          <w:spacing w:val="-1"/>
          <w:sz w:val="24"/>
          <w:szCs w:val="24"/>
          <w:highlight w:val="none"/>
        </w:rPr>
        <w:t>（一）评标委员会对各供应商的资格条件、响应文件的有效性、完整性和响应程度进</w:t>
      </w:r>
      <w:r>
        <w:rPr>
          <w:rFonts w:ascii="宋体" w:hAnsi="宋体" w:eastAsia="宋体" w:cs="宋体"/>
          <w:spacing w:val="15"/>
          <w:sz w:val="24"/>
          <w:szCs w:val="24"/>
          <w:highlight w:val="none"/>
        </w:rPr>
        <w:t xml:space="preserve"> </w:t>
      </w:r>
      <w:r>
        <w:rPr>
          <w:rFonts w:ascii="宋体" w:hAnsi="宋体" w:eastAsia="宋体" w:cs="宋体"/>
          <w:spacing w:val="-1"/>
          <w:sz w:val="24"/>
          <w:szCs w:val="24"/>
          <w:highlight w:val="none"/>
        </w:rPr>
        <w:t>行审查。各供应商只有在完全符合要求的前提下，才能参与正式评审。</w:t>
      </w:r>
    </w:p>
    <w:p w14:paraId="6553452E">
      <w:pPr>
        <w:spacing w:before="32" w:line="295" w:lineRule="auto"/>
        <w:ind w:left="119" w:right="308" w:firstLine="499"/>
        <w:rPr>
          <w:rFonts w:ascii="宋体" w:hAnsi="宋体" w:eastAsia="宋体" w:cs="宋体"/>
          <w:sz w:val="24"/>
          <w:szCs w:val="24"/>
          <w:highlight w:val="none"/>
        </w:rPr>
      </w:pPr>
      <w:r>
        <w:rPr>
          <w:rFonts w:ascii="宋体" w:hAnsi="宋体" w:eastAsia="宋体" w:cs="宋体"/>
          <w:spacing w:val="-1"/>
          <w:sz w:val="24"/>
          <w:szCs w:val="24"/>
          <w:highlight w:val="none"/>
        </w:rPr>
        <w:t>1.资格性检查。依据法律法规和竞争性比选文件的规定，对响应文件中的资格证明等</w:t>
      </w:r>
      <w:r>
        <w:rPr>
          <w:rFonts w:ascii="宋体" w:hAnsi="宋体" w:eastAsia="宋体" w:cs="宋体"/>
          <w:spacing w:val="9"/>
          <w:sz w:val="24"/>
          <w:szCs w:val="24"/>
          <w:highlight w:val="none"/>
        </w:rPr>
        <w:t xml:space="preserve"> </w:t>
      </w:r>
      <w:r>
        <w:rPr>
          <w:rFonts w:ascii="宋体" w:hAnsi="宋体" w:eastAsia="宋体" w:cs="宋体"/>
          <w:spacing w:val="-1"/>
          <w:sz w:val="24"/>
          <w:szCs w:val="24"/>
          <w:highlight w:val="none"/>
        </w:rPr>
        <w:t>进行审查，以确定供应商是否具备投标资格。</w:t>
      </w:r>
    </w:p>
    <w:p w14:paraId="78C385BD">
      <w:pPr>
        <w:spacing w:before="35" w:line="219" w:lineRule="auto"/>
        <w:ind w:left="611"/>
        <w:rPr>
          <w:rFonts w:ascii="宋体" w:hAnsi="宋体" w:eastAsia="宋体" w:cs="宋体"/>
          <w:sz w:val="24"/>
          <w:szCs w:val="24"/>
          <w:highlight w:val="none"/>
        </w:rPr>
      </w:pPr>
      <w:r>
        <w:rPr>
          <w:rFonts w:ascii="宋体" w:hAnsi="宋体" w:eastAsia="宋体" w:cs="宋体"/>
          <w:spacing w:val="-2"/>
          <w:sz w:val="24"/>
          <w:szCs w:val="24"/>
          <w:highlight w:val="none"/>
        </w:rPr>
        <w:t>资格性检查资料表如下：</w:t>
      </w:r>
    </w:p>
    <w:tbl>
      <w:tblPr>
        <w:tblStyle w:val="6"/>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709"/>
        <w:gridCol w:w="4676"/>
        <w:gridCol w:w="3710"/>
      </w:tblGrid>
      <w:tr w14:paraId="764E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80" w:type="dxa"/>
            <w:vAlign w:val="top"/>
          </w:tcPr>
          <w:p w14:paraId="41A2DDA4">
            <w:pPr>
              <w:pStyle w:val="7"/>
              <w:spacing w:before="137" w:line="229" w:lineRule="auto"/>
              <w:ind w:left="133"/>
              <w:rPr>
                <w:highlight w:val="none"/>
              </w:rPr>
            </w:pPr>
            <w:r>
              <w:rPr>
                <w:b/>
                <w:bCs/>
                <w:spacing w:val="4"/>
                <w:highlight w:val="none"/>
              </w:rPr>
              <w:t>序号</w:t>
            </w:r>
          </w:p>
        </w:tc>
        <w:tc>
          <w:tcPr>
            <w:tcW w:w="5385" w:type="dxa"/>
            <w:gridSpan w:val="2"/>
            <w:vAlign w:val="top"/>
          </w:tcPr>
          <w:p w14:paraId="74B19342">
            <w:pPr>
              <w:pStyle w:val="7"/>
              <w:spacing w:before="137" w:line="228" w:lineRule="auto"/>
              <w:ind w:left="2276"/>
              <w:rPr>
                <w:highlight w:val="none"/>
              </w:rPr>
            </w:pPr>
            <w:r>
              <w:rPr>
                <w:b/>
                <w:bCs/>
                <w:spacing w:val="6"/>
                <w:highlight w:val="none"/>
              </w:rPr>
              <w:t>检查因素</w:t>
            </w:r>
          </w:p>
        </w:tc>
        <w:tc>
          <w:tcPr>
            <w:tcW w:w="3710" w:type="dxa"/>
            <w:vAlign w:val="top"/>
          </w:tcPr>
          <w:p w14:paraId="2D29A209">
            <w:pPr>
              <w:pStyle w:val="7"/>
              <w:spacing w:before="137" w:line="228" w:lineRule="auto"/>
              <w:ind w:left="1439"/>
              <w:rPr>
                <w:highlight w:val="none"/>
              </w:rPr>
            </w:pPr>
            <w:r>
              <w:rPr>
                <w:b/>
                <w:bCs/>
                <w:spacing w:val="6"/>
                <w:highlight w:val="none"/>
              </w:rPr>
              <w:t>检查内容</w:t>
            </w:r>
          </w:p>
        </w:tc>
      </w:tr>
      <w:tr w14:paraId="5546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680" w:type="dxa"/>
            <w:vMerge w:val="restart"/>
            <w:tcBorders>
              <w:bottom w:val="nil"/>
            </w:tcBorders>
            <w:vAlign w:val="top"/>
          </w:tcPr>
          <w:p w14:paraId="6553BC01">
            <w:pPr>
              <w:spacing w:line="266" w:lineRule="auto"/>
              <w:rPr>
                <w:rFonts w:ascii="Arial"/>
                <w:sz w:val="21"/>
                <w:highlight w:val="none"/>
              </w:rPr>
            </w:pPr>
          </w:p>
          <w:p w14:paraId="7F4E7D38">
            <w:pPr>
              <w:spacing w:line="266" w:lineRule="auto"/>
              <w:rPr>
                <w:rFonts w:ascii="Arial"/>
                <w:sz w:val="21"/>
                <w:highlight w:val="none"/>
              </w:rPr>
            </w:pPr>
          </w:p>
          <w:p w14:paraId="1AAF87A0">
            <w:pPr>
              <w:spacing w:line="266" w:lineRule="auto"/>
              <w:rPr>
                <w:rFonts w:ascii="Arial"/>
                <w:sz w:val="21"/>
                <w:highlight w:val="none"/>
              </w:rPr>
            </w:pPr>
          </w:p>
          <w:p w14:paraId="20123C3C">
            <w:pPr>
              <w:spacing w:line="267" w:lineRule="auto"/>
              <w:rPr>
                <w:rFonts w:ascii="Arial"/>
                <w:sz w:val="21"/>
                <w:highlight w:val="none"/>
              </w:rPr>
            </w:pPr>
          </w:p>
          <w:p w14:paraId="6629DE71">
            <w:pPr>
              <w:spacing w:line="267" w:lineRule="auto"/>
              <w:rPr>
                <w:rFonts w:ascii="Arial"/>
                <w:sz w:val="21"/>
                <w:highlight w:val="none"/>
              </w:rPr>
            </w:pPr>
          </w:p>
          <w:p w14:paraId="71D9F990">
            <w:pPr>
              <w:spacing w:line="267" w:lineRule="auto"/>
              <w:rPr>
                <w:rFonts w:ascii="Arial"/>
                <w:sz w:val="21"/>
                <w:highlight w:val="none"/>
              </w:rPr>
            </w:pPr>
          </w:p>
          <w:p w14:paraId="60343236">
            <w:pPr>
              <w:spacing w:line="267" w:lineRule="auto"/>
              <w:rPr>
                <w:rFonts w:ascii="Arial"/>
                <w:sz w:val="21"/>
                <w:highlight w:val="none"/>
              </w:rPr>
            </w:pPr>
          </w:p>
          <w:p w14:paraId="27B2EE63">
            <w:pPr>
              <w:pStyle w:val="7"/>
              <w:spacing w:before="65" w:line="189" w:lineRule="auto"/>
              <w:ind w:left="308"/>
              <w:rPr>
                <w:highlight w:val="none"/>
              </w:rPr>
            </w:pPr>
            <w:r>
              <w:rPr>
                <w:highlight w:val="none"/>
              </w:rPr>
              <w:t>1</w:t>
            </w:r>
          </w:p>
        </w:tc>
        <w:tc>
          <w:tcPr>
            <w:tcW w:w="709" w:type="dxa"/>
            <w:vMerge w:val="restart"/>
            <w:tcBorders>
              <w:bottom w:val="nil"/>
            </w:tcBorders>
            <w:vAlign w:val="top"/>
          </w:tcPr>
          <w:p w14:paraId="1370CA2B">
            <w:pPr>
              <w:spacing w:line="280" w:lineRule="auto"/>
              <w:rPr>
                <w:rFonts w:ascii="Arial"/>
                <w:sz w:val="21"/>
                <w:highlight w:val="none"/>
              </w:rPr>
            </w:pPr>
          </w:p>
          <w:p w14:paraId="65504A5A">
            <w:pPr>
              <w:spacing w:line="280" w:lineRule="auto"/>
              <w:rPr>
                <w:rFonts w:ascii="Arial"/>
                <w:sz w:val="21"/>
                <w:highlight w:val="none"/>
              </w:rPr>
            </w:pPr>
          </w:p>
          <w:p w14:paraId="6D402D38">
            <w:pPr>
              <w:spacing w:line="280" w:lineRule="auto"/>
              <w:rPr>
                <w:rFonts w:ascii="Arial"/>
                <w:sz w:val="21"/>
                <w:highlight w:val="none"/>
              </w:rPr>
            </w:pPr>
          </w:p>
          <w:p w14:paraId="479C998E">
            <w:pPr>
              <w:spacing w:line="281" w:lineRule="auto"/>
              <w:rPr>
                <w:rFonts w:ascii="Arial"/>
                <w:sz w:val="21"/>
                <w:highlight w:val="none"/>
              </w:rPr>
            </w:pPr>
          </w:p>
          <w:p w14:paraId="489D998D">
            <w:pPr>
              <w:pStyle w:val="7"/>
              <w:spacing w:before="65" w:line="222" w:lineRule="auto"/>
              <w:ind w:left="111" w:right="182"/>
              <w:jc w:val="both"/>
              <w:rPr>
                <w:highlight w:val="none"/>
              </w:rPr>
            </w:pPr>
            <w:r>
              <w:rPr>
                <w:spacing w:val="4"/>
                <w:highlight w:val="none"/>
              </w:rPr>
              <w:t>供应</w:t>
            </w:r>
            <w:r>
              <w:rPr>
                <w:highlight w:val="none"/>
              </w:rPr>
              <w:t xml:space="preserve"> </w:t>
            </w:r>
            <w:r>
              <w:rPr>
                <w:spacing w:val="5"/>
                <w:highlight w:val="none"/>
              </w:rPr>
              <w:t>商应</w:t>
            </w:r>
            <w:r>
              <w:rPr>
                <w:highlight w:val="none"/>
              </w:rPr>
              <w:t xml:space="preserve"> </w:t>
            </w:r>
            <w:r>
              <w:rPr>
                <w:spacing w:val="5"/>
                <w:highlight w:val="none"/>
              </w:rPr>
              <w:t>符合</w:t>
            </w:r>
            <w:r>
              <w:rPr>
                <w:highlight w:val="none"/>
              </w:rPr>
              <w:t xml:space="preserve"> </w:t>
            </w:r>
            <w:r>
              <w:rPr>
                <w:spacing w:val="5"/>
                <w:highlight w:val="none"/>
              </w:rPr>
              <w:t>的基</w:t>
            </w:r>
            <w:r>
              <w:rPr>
                <w:highlight w:val="none"/>
              </w:rPr>
              <w:t xml:space="preserve"> </w:t>
            </w:r>
            <w:r>
              <w:rPr>
                <w:spacing w:val="5"/>
                <w:highlight w:val="none"/>
              </w:rPr>
              <w:t>本资</w:t>
            </w:r>
            <w:r>
              <w:rPr>
                <w:highlight w:val="none"/>
              </w:rPr>
              <w:t xml:space="preserve"> </w:t>
            </w:r>
            <w:r>
              <w:rPr>
                <w:spacing w:val="5"/>
                <w:highlight w:val="none"/>
              </w:rPr>
              <w:t>格条</w:t>
            </w:r>
            <w:r>
              <w:rPr>
                <w:highlight w:val="none"/>
              </w:rPr>
              <w:t xml:space="preserve"> </w:t>
            </w:r>
            <w:r>
              <w:rPr>
                <w:spacing w:val="1"/>
                <w:highlight w:val="none"/>
              </w:rPr>
              <w:t>件</w:t>
            </w:r>
          </w:p>
        </w:tc>
        <w:tc>
          <w:tcPr>
            <w:tcW w:w="4676" w:type="dxa"/>
            <w:vAlign w:val="top"/>
          </w:tcPr>
          <w:p w14:paraId="35C4EB5A">
            <w:pPr>
              <w:spacing w:line="332" w:lineRule="auto"/>
              <w:rPr>
                <w:rFonts w:ascii="Arial"/>
                <w:sz w:val="21"/>
                <w:highlight w:val="none"/>
              </w:rPr>
            </w:pPr>
          </w:p>
          <w:p w14:paraId="4D20CEA1">
            <w:pPr>
              <w:spacing w:line="332" w:lineRule="auto"/>
              <w:rPr>
                <w:rFonts w:ascii="Arial"/>
                <w:sz w:val="21"/>
                <w:highlight w:val="none"/>
              </w:rPr>
            </w:pPr>
          </w:p>
          <w:p w14:paraId="77778EAC">
            <w:pPr>
              <w:pStyle w:val="7"/>
              <w:spacing w:before="65" w:line="228" w:lineRule="auto"/>
              <w:ind w:left="121"/>
              <w:rPr>
                <w:highlight w:val="none"/>
              </w:rPr>
            </w:pPr>
            <w:r>
              <w:rPr>
                <w:spacing w:val="8"/>
                <w:highlight w:val="none"/>
              </w:rPr>
              <w:t>（1）具有独立承担民事责任的能力</w:t>
            </w:r>
          </w:p>
        </w:tc>
        <w:tc>
          <w:tcPr>
            <w:tcW w:w="3710" w:type="dxa"/>
            <w:vAlign w:val="top"/>
          </w:tcPr>
          <w:p w14:paraId="1C458A2E">
            <w:pPr>
              <w:pStyle w:val="7"/>
              <w:spacing w:before="12" w:line="222" w:lineRule="auto"/>
              <w:ind w:left="114" w:right="108"/>
              <w:jc w:val="both"/>
              <w:rPr>
                <w:highlight w:val="none"/>
              </w:rPr>
            </w:pPr>
            <w:r>
              <w:rPr>
                <w:spacing w:val="4"/>
                <w:highlight w:val="none"/>
              </w:rPr>
              <w:t>供应商法人营业执照（副本）或事业单</w:t>
            </w:r>
            <w:r>
              <w:rPr>
                <w:spacing w:val="12"/>
                <w:highlight w:val="none"/>
              </w:rPr>
              <w:t xml:space="preserve"> </w:t>
            </w:r>
            <w:r>
              <w:rPr>
                <w:spacing w:val="4"/>
                <w:highlight w:val="none"/>
              </w:rPr>
              <w:t>位法人证书（副本）或个体工商户营业</w:t>
            </w:r>
            <w:r>
              <w:rPr>
                <w:spacing w:val="12"/>
                <w:highlight w:val="none"/>
              </w:rPr>
              <w:t xml:space="preserve"> </w:t>
            </w:r>
            <w:r>
              <w:rPr>
                <w:spacing w:val="8"/>
                <w:highlight w:val="none"/>
              </w:rPr>
              <w:t>执照或有效的自然人身份证明</w:t>
            </w:r>
            <w:r>
              <w:rPr>
                <w:rFonts w:hint="eastAsia"/>
                <w:spacing w:val="8"/>
                <w:highlight w:val="none"/>
                <w:lang w:eastAsia="zh-CN"/>
              </w:rPr>
              <w:t>（</w:t>
            </w:r>
            <w:r>
              <w:rPr>
                <w:spacing w:val="7"/>
                <w:highlight w:val="none"/>
              </w:rPr>
              <w:t>注</w:t>
            </w:r>
            <w:r>
              <w:rPr>
                <w:rFonts w:hint="default" w:ascii="Calibri" w:hAnsi="Calibri" w:cs="Calibri"/>
                <w:spacing w:val="1"/>
                <w:sz w:val="16"/>
                <w:szCs w:val="16"/>
                <w:highlight w:val="none"/>
              </w:rPr>
              <w:t>①</w:t>
            </w:r>
            <w:r>
              <w:rPr>
                <w:rFonts w:hint="eastAsia"/>
                <w:spacing w:val="8"/>
                <w:highlight w:val="none"/>
                <w:lang w:eastAsia="zh-CN"/>
              </w:rPr>
              <w:t>）</w:t>
            </w:r>
            <w:r>
              <w:rPr>
                <w:spacing w:val="8"/>
                <w:highlight w:val="none"/>
              </w:rPr>
              <w:t>；</w:t>
            </w:r>
          </w:p>
          <w:p w14:paraId="233261DE">
            <w:pPr>
              <w:pStyle w:val="7"/>
              <w:spacing w:before="3" w:line="216" w:lineRule="auto"/>
              <w:ind w:left="114" w:right="108"/>
              <w:rPr>
                <w:highlight w:val="none"/>
              </w:rPr>
            </w:pPr>
            <w:r>
              <w:rPr>
                <w:spacing w:val="9"/>
                <w:highlight w:val="none"/>
              </w:rPr>
              <w:t>供应商法定代表人身份证明和法定代</w:t>
            </w:r>
            <w:r>
              <w:rPr>
                <w:spacing w:val="2"/>
                <w:highlight w:val="none"/>
              </w:rPr>
              <w:t xml:space="preserve">  </w:t>
            </w:r>
            <w:r>
              <w:rPr>
                <w:spacing w:val="4"/>
                <w:highlight w:val="none"/>
              </w:rPr>
              <w:t>表人授权代表委托书。不具有独立法人</w:t>
            </w:r>
            <w:r>
              <w:rPr>
                <w:spacing w:val="13"/>
                <w:highlight w:val="none"/>
              </w:rPr>
              <w:t xml:space="preserve"> </w:t>
            </w:r>
            <w:r>
              <w:rPr>
                <w:spacing w:val="4"/>
                <w:highlight w:val="none"/>
              </w:rPr>
              <w:t>的分公司、办事处等分支机构不能参加</w:t>
            </w:r>
            <w:r>
              <w:rPr>
                <w:spacing w:val="13"/>
                <w:highlight w:val="none"/>
              </w:rPr>
              <w:t xml:space="preserve"> </w:t>
            </w:r>
            <w:r>
              <w:rPr>
                <w:spacing w:val="3"/>
                <w:highlight w:val="none"/>
              </w:rPr>
              <w:t>投标。</w:t>
            </w:r>
          </w:p>
        </w:tc>
      </w:tr>
      <w:tr w14:paraId="56D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80" w:type="dxa"/>
            <w:vMerge w:val="continue"/>
            <w:tcBorders>
              <w:top w:val="nil"/>
              <w:bottom w:val="nil"/>
            </w:tcBorders>
            <w:vAlign w:val="top"/>
          </w:tcPr>
          <w:p w14:paraId="6E487BFF">
            <w:pPr>
              <w:rPr>
                <w:rFonts w:ascii="Arial"/>
                <w:sz w:val="21"/>
                <w:highlight w:val="none"/>
              </w:rPr>
            </w:pPr>
          </w:p>
        </w:tc>
        <w:tc>
          <w:tcPr>
            <w:tcW w:w="709" w:type="dxa"/>
            <w:vMerge w:val="continue"/>
            <w:tcBorders>
              <w:top w:val="nil"/>
              <w:bottom w:val="nil"/>
            </w:tcBorders>
            <w:vAlign w:val="top"/>
          </w:tcPr>
          <w:p w14:paraId="7B077637">
            <w:pPr>
              <w:rPr>
                <w:rFonts w:ascii="Arial"/>
                <w:sz w:val="21"/>
                <w:highlight w:val="none"/>
              </w:rPr>
            </w:pPr>
          </w:p>
        </w:tc>
        <w:tc>
          <w:tcPr>
            <w:tcW w:w="4676" w:type="dxa"/>
            <w:vAlign w:val="top"/>
          </w:tcPr>
          <w:p w14:paraId="75FBD296">
            <w:pPr>
              <w:pStyle w:val="7"/>
              <w:spacing w:before="123" w:line="227" w:lineRule="auto"/>
              <w:ind w:left="121"/>
              <w:rPr>
                <w:highlight w:val="none"/>
              </w:rPr>
            </w:pPr>
            <w:r>
              <w:rPr>
                <w:spacing w:val="6"/>
                <w:highlight w:val="none"/>
              </w:rPr>
              <w:t>（2）具有良好的商业信誉和健全的财务会计制度</w:t>
            </w:r>
          </w:p>
        </w:tc>
        <w:tc>
          <w:tcPr>
            <w:tcW w:w="3710" w:type="dxa"/>
            <w:vMerge w:val="restart"/>
            <w:tcBorders>
              <w:bottom w:val="nil"/>
            </w:tcBorders>
            <w:vAlign w:val="top"/>
          </w:tcPr>
          <w:p w14:paraId="1C482426">
            <w:pPr>
              <w:spacing w:line="329" w:lineRule="auto"/>
              <w:rPr>
                <w:rFonts w:ascii="Arial"/>
                <w:sz w:val="21"/>
                <w:highlight w:val="none"/>
              </w:rPr>
            </w:pPr>
          </w:p>
          <w:p w14:paraId="682ACD72">
            <w:pPr>
              <w:spacing w:line="329" w:lineRule="auto"/>
              <w:rPr>
                <w:rFonts w:ascii="Arial"/>
                <w:sz w:val="21"/>
                <w:highlight w:val="none"/>
              </w:rPr>
            </w:pPr>
          </w:p>
          <w:p w14:paraId="01A5FB72">
            <w:pPr>
              <w:pStyle w:val="7"/>
              <w:spacing w:before="65" w:line="225" w:lineRule="auto"/>
              <w:ind w:left="118" w:right="108" w:hanging="4"/>
              <w:rPr>
                <w:highlight w:val="none"/>
              </w:rPr>
            </w:pPr>
            <w:r>
              <w:rPr>
                <w:spacing w:val="3"/>
                <w:highlight w:val="none"/>
              </w:rPr>
              <w:t>供应商提供“书面声明</w:t>
            </w:r>
            <w:r>
              <w:rPr>
                <w:spacing w:val="-70"/>
                <w:highlight w:val="none"/>
              </w:rPr>
              <w:t xml:space="preserve"> </w:t>
            </w:r>
            <w:r>
              <w:rPr>
                <w:spacing w:val="3"/>
                <w:highlight w:val="none"/>
              </w:rPr>
              <w:t>”书面声明（格</w:t>
            </w:r>
            <w:r>
              <w:rPr>
                <w:highlight w:val="none"/>
              </w:rPr>
              <w:t xml:space="preserve"> </w:t>
            </w:r>
            <w:r>
              <w:rPr>
                <w:spacing w:val="5"/>
                <w:highlight w:val="none"/>
              </w:rPr>
              <w:t>式详见第七篇）。</w:t>
            </w:r>
          </w:p>
        </w:tc>
      </w:tr>
      <w:tr w14:paraId="34DBC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80" w:type="dxa"/>
            <w:vMerge w:val="continue"/>
            <w:tcBorders>
              <w:top w:val="nil"/>
              <w:bottom w:val="nil"/>
            </w:tcBorders>
            <w:vAlign w:val="top"/>
          </w:tcPr>
          <w:p w14:paraId="2D2CA5C8">
            <w:pPr>
              <w:rPr>
                <w:rFonts w:ascii="Arial"/>
                <w:sz w:val="21"/>
                <w:highlight w:val="none"/>
              </w:rPr>
            </w:pPr>
          </w:p>
        </w:tc>
        <w:tc>
          <w:tcPr>
            <w:tcW w:w="709" w:type="dxa"/>
            <w:vMerge w:val="continue"/>
            <w:tcBorders>
              <w:top w:val="nil"/>
              <w:bottom w:val="nil"/>
            </w:tcBorders>
            <w:vAlign w:val="top"/>
          </w:tcPr>
          <w:p w14:paraId="6E6814BD">
            <w:pPr>
              <w:rPr>
                <w:rFonts w:ascii="Arial"/>
                <w:sz w:val="21"/>
                <w:highlight w:val="none"/>
              </w:rPr>
            </w:pPr>
          </w:p>
        </w:tc>
        <w:tc>
          <w:tcPr>
            <w:tcW w:w="4676" w:type="dxa"/>
            <w:vAlign w:val="top"/>
          </w:tcPr>
          <w:p w14:paraId="38CE1959">
            <w:pPr>
              <w:pStyle w:val="7"/>
              <w:spacing w:before="116" w:line="228" w:lineRule="auto"/>
              <w:ind w:left="121"/>
              <w:rPr>
                <w:highlight w:val="none"/>
              </w:rPr>
            </w:pPr>
            <w:r>
              <w:rPr>
                <w:spacing w:val="6"/>
                <w:highlight w:val="none"/>
              </w:rPr>
              <w:t>（3）具有履行合同所必需的设备和专业技术能力</w:t>
            </w:r>
          </w:p>
        </w:tc>
        <w:tc>
          <w:tcPr>
            <w:tcW w:w="3710" w:type="dxa"/>
            <w:vMerge w:val="continue"/>
            <w:tcBorders>
              <w:top w:val="nil"/>
              <w:bottom w:val="nil"/>
            </w:tcBorders>
            <w:vAlign w:val="top"/>
          </w:tcPr>
          <w:p w14:paraId="19DD3035">
            <w:pPr>
              <w:rPr>
                <w:rFonts w:ascii="Arial"/>
                <w:sz w:val="21"/>
                <w:highlight w:val="none"/>
              </w:rPr>
            </w:pPr>
          </w:p>
        </w:tc>
      </w:tr>
      <w:tr w14:paraId="57686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80" w:type="dxa"/>
            <w:vMerge w:val="continue"/>
            <w:tcBorders>
              <w:top w:val="nil"/>
              <w:bottom w:val="nil"/>
            </w:tcBorders>
            <w:vAlign w:val="top"/>
          </w:tcPr>
          <w:p w14:paraId="60217EB7">
            <w:pPr>
              <w:rPr>
                <w:rFonts w:ascii="Arial"/>
                <w:sz w:val="21"/>
                <w:highlight w:val="none"/>
              </w:rPr>
            </w:pPr>
          </w:p>
        </w:tc>
        <w:tc>
          <w:tcPr>
            <w:tcW w:w="709" w:type="dxa"/>
            <w:vMerge w:val="continue"/>
            <w:tcBorders>
              <w:top w:val="nil"/>
              <w:bottom w:val="nil"/>
            </w:tcBorders>
            <w:vAlign w:val="top"/>
          </w:tcPr>
          <w:p w14:paraId="5C308383">
            <w:pPr>
              <w:rPr>
                <w:rFonts w:ascii="Arial"/>
                <w:sz w:val="21"/>
                <w:highlight w:val="none"/>
              </w:rPr>
            </w:pPr>
          </w:p>
        </w:tc>
        <w:tc>
          <w:tcPr>
            <w:tcW w:w="4676" w:type="dxa"/>
            <w:vAlign w:val="top"/>
          </w:tcPr>
          <w:p w14:paraId="32291EF5">
            <w:pPr>
              <w:pStyle w:val="7"/>
              <w:spacing w:before="97" w:line="227" w:lineRule="auto"/>
              <w:ind w:left="121"/>
              <w:rPr>
                <w:highlight w:val="none"/>
              </w:rPr>
            </w:pPr>
            <w:r>
              <w:rPr>
                <w:spacing w:val="8"/>
                <w:highlight w:val="none"/>
              </w:rPr>
              <w:t>（4）有依法缴纳税收和社会保障金的良好记录</w:t>
            </w:r>
          </w:p>
        </w:tc>
        <w:tc>
          <w:tcPr>
            <w:tcW w:w="3710" w:type="dxa"/>
            <w:vMerge w:val="continue"/>
            <w:tcBorders>
              <w:top w:val="nil"/>
              <w:bottom w:val="nil"/>
            </w:tcBorders>
            <w:vAlign w:val="top"/>
          </w:tcPr>
          <w:p w14:paraId="6B842693">
            <w:pPr>
              <w:rPr>
                <w:rFonts w:ascii="Arial"/>
                <w:sz w:val="21"/>
                <w:highlight w:val="none"/>
              </w:rPr>
            </w:pPr>
          </w:p>
        </w:tc>
      </w:tr>
      <w:tr w14:paraId="1079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0" w:type="dxa"/>
            <w:vMerge w:val="continue"/>
            <w:tcBorders>
              <w:top w:val="nil"/>
              <w:bottom w:val="nil"/>
            </w:tcBorders>
            <w:vAlign w:val="top"/>
          </w:tcPr>
          <w:p w14:paraId="597A62E3">
            <w:pPr>
              <w:rPr>
                <w:rFonts w:ascii="Arial"/>
                <w:sz w:val="21"/>
                <w:highlight w:val="none"/>
              </w:rPr>
            </w:pPr>
          </w:p>
        </w:tc>
        <w:tc>
          <w:tcPr>
            <w:tcW w:w="709" w:type="dxa"/>
            <w:vMerge w:val="continue"/>
            <w:tcBorders>
              <w:top w:val="nil"/>
              <w:bottom w:val="nil"/>
            </w:tcBorders>
            <w:vAlign w:val="top"/>
          </w:tcPr>
          <w:p w14:paraId="6ED5684A">
            <w:pPr>
              <w:rPr>
                <w:rFonts w:ascii="Arial"/>
                <w:sz w:val="21"/>
                <w:highlight w:val="none"/>
              </w:rPr>
            </w:pPr>
          </w:p>
        </w:tc>
        <w:tc>
          <w:tcPr>
            <w:tcW w:w="4676" w:type="dxa"/>
            <w:vAlign w:val="top"/>
          </w:tcPr>
          <w:p w14:paraId="16AE0797">
            <w:pPr>
              <w:pStyle w:val="7"/>
              <w:spacing w:before="56" w:line="225" w:lineRule="auto"/>
              <w:ind w:left="114" w:right="106" w:firstLine="6"/>
              <w:rPr>
                <w:highlight w:val="none"/>
              </w:rPr>
            </w:pPr>
            <w:r>
              <w:rPr>
                <w:spacing w:val="6"/>
                <w:highlight w:val="none"/>
              </w:rPr>
              <w:t>（5）参加本次采购活动前三年内，在经营活动中</w:t>
            </w:r>
            <w:r>
              <w:rPr>
                <w:spacing w:val="10"/>
                <w:highlight w:val="none"/>
              </w:rPr>
              <w:t xml:space="preserve"> </w:t>
            </w:r>
            <w:r>
              <w:rPr>
                <w:spacing w:val="7"/>
                <w:highlight w:val="none"/>
              </w:rPr>
              <w:t>没有重大违法记录（注</w:t>
            </w:r>
            <w:r>
              <w:rPr>
                <w:rFonts w:hint="default" w:ascii="Calibri" w:hAnsi="Calibri" w:eastAsia="宋体" w:cs="Calibri"/>
                <w:sz w:val="18"/>
                <w:szCs w:val="18"/>
                <w:highlight w:val="none"/>
              </w:rPr>
              <w:t>②</w:t>
            </w:r>
            <w:r>
              <w:rPr>
                <w:spacing w:val="7"/>
                <w:highlight w:val="none"/>
              </w:rPr>
              <w:t>)</w:t>
            </w:r>
          </w:p>
        </w:tc>
        <w:tc>
          <w:tcPr>
            <w:tcW w:w="3710" w:type="dxa"/>
            <w:vMerge w:val="continue"/>
            <w:tcBorders>
              <w:top w:val="nil"/>
            </w:tcBorders>
            <w:vAlign w:val="top"/>
          </w:tcPr>
          <w:p w14:paraId="02DA1C5D">
            <w:pPr>
              <w:rPr>
                <w:rFonts w:ascii="Arial"/>
                <w:sz w:val="21"/>
                <w:highlight w:val="none"/>
              </w:rPr>
            </w:pPr>
          </w:p>
        </w:tc>
      </w:tr>
      <w:tr w14:paraId="7B5E4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80" w:type="dxa"/>
            <w:vMerge w:val="continue"/>
            <w:tcBorders>
              <w:top w:val="nil"/>
            </w:tcBorders>
            <w:vAlign w:val="top"/>
          </w:tcPr>
          <w:p w14:paraId="65A829F8">
            <w:pPr>
              <w:rPr>
                <w:rFonts w:ascii="Arial"/>
                <w:sz w:val="21"/>
                <w:highlight w:val="none"/>
              </w:rPr>
            </w:pPr>
          </w:p>
        </w:tc>
        <w:tc>
          <w:tcPr>
            <w:tcW w:w="709" w:type="dxa"/>
            <w:vMerge w:val="continue"/>
            <w:tcBorders>
              <w:top w:val="nil"/>
            </w:tcBorders>
            <w:vAlign w:val="top"/>
          </w:tcPr>
          <w:p w14:paraId="7EDD30B3">
            <w:pPr>
              <w:rPr>
                <w:rFonts w:ascii="Arial"/>
                <w:sz w:val="21"/>
                <w:highlight w:val="none"/>
              </w:rPr>
            </w:pPr>
          </w:p>
        </w:tc>
        <w:tc>
          <w:tcPr>
            <w:tcW w:w="4676" w:type="dxa"/>
            <w:vAlign w:val="top"/>
          </w:tcPr>
          <w:p w14:paraId="32D64918">
            <w:pPr>
              <w:pStyle w:val="7"/>
              <w:spacing w:before="109" w:line="228" w:lineRule="auto"/>
              <w:ind w:left="121"/>
              <w:rPr>
                <w:highlight w:val="none"/>
              </w:rPr>
            </w:pPr>
            <w:r>
              <w:rPr>
                <w:spacing w:val="8"/>
                <w:highlight w:val="none"/>
              </w:rPr>
              <w:t>（6）法律、行政法规规定的其他条件</w:t>
            </w:r>
          </w:p>
        </w:tc>
        <w:tc>
          <w:tcPr>
            <w:tcW w:w="3710" w:type="dxa"/>
            <w:vAlign w:val="top"/>
          </w:tcPr>
          <w:p w14:paraId="0E375013">
            <w:pPr>
              <w:rPr>
                <w:rFonts w:ascii="Arial"/>
                <w:sz w:val="21"/>
                <w:highlight w:val="none"/>
              </w:rPr>
            </w:pPr>
          </w:p>
        </w:tc>
      </w:tr>
      <w:tr w14:paraId="161C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0" w:type="dxa"/>
            <w:vAlign w:val="top"/>
          </w:tcPr>
          <w:p w14:paraId="40AE3700">
            <w:pPr>
              <w:pStyle w:val="7"/>
              <w:spacing w:before="274" w:line="189" w:lineRule="auto"/>
              <w:ind w:left="117"/>
              <w:rPr>
                <w:highlight w:val="none"/>
              </w:rPr>
            </w:pPr>
            <w:r>
              <w:rPr>
                <w:highlight w:val="none"/>
              </w:rPr>
              <w:t>2</w:t>
            </w:r>
          </w:p>
        </w:tc>
        <w:tc>
          <w:tcPr>
            <w:tcW w:w="5385" w:type="dxa"/>
            <w:gridSpan w:val="2"/>
            <w:vAlign w:val="top"/>
          </w:tcPr>
          <w:p w14:paraId="033D9E65">
            <w:pPr>
              <w:pStyle w:val="7"/>
              <w:spacing w:before="241" w:line="228" w:lineRule="auto"/>
              <w:ind w:left="111"/>
              <w:rPr>
                <w:highlight w:val="none"/>
              </w:rPr>
            </w:pPr>
            <w:r>
              <w:rPr>
                <w:spacing w:val="8"/>
                <w:highlight w:val="none"/>
              </w:rPr>
              <w:t>特定资格条件</w:t>
            </w:r>
          </w:p>
        </w:tc>
        <w:tc>
          <w:tcPr>
            <w:tcW w:w="3710" w:type="dxa"/>
            <w:vAlign w:val="top"/>
          </w:tcPr>
          <w:p w14:paraId="3D49F316">
            <w:pPr>
              <w:pStyle w:val="7"/>
              <w:spacing w:before="241" w:line="227" w:lineRule="auto"/>
              <w:ind w:left="116"/>
              <w:rPr>
                <w:highlight w:val="none"/>
              </w:rPr>
            </w:pPr>
            <w:r>
              <w:rPr>
                <w:spacing w:val="8"/>
                <w:highlight w:val="none"/>
              </w:rPr>
              <w:t>按照第一篇相关要求提供。</w:t>
            </w:r>
          </w:p>
        </w:tc>
      </w:tr>
      <w:tr w14:paraId="3C7F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80" w:type="dxa"/>
            <w:vAlign w:val="top"/>
          </w:tcPr>
          <w:p w14:paraId="729A602B">
            <w:pPr>
              <w:pStyle w:val="7"/>
              <w:spacing w:before="171" w:line="189" w:lineRule="auto"/>
              <w:ind w:left="296"/>
              <w:rPr>
                <w:highlight w:val="none"/>
              </w:rPr>
            </w:pPr>
            <w:r>
              <w:rPr>
                <w:highlight w:val="none"/>
              </w:rPr>
              <w:t>3</w:t>
            </w:r>
          </w:p>
        </w:tc>
        <w:tc>
          <w:tcPr>
            <w:tcW w:w="5385" w:type="dxa"/>
            <w:gridSpan w:val="2"/>
            <w:vAlign w:val="top"/>
          </w:tcPr>
          <w:p w14:paraId="150A7A8D">
            <w:pPr>
              <w:pStyle w:val="7"/>
              <w:spacing w:before="138" w:line="228" w:lineRule="auto"/>
              <w:ind w:left="134"/>
              <w:rPr>
                <w:highlight w:val="none"/>
              </w:rPr>
            </w:pPr>
            <w:r>
              <w:rPr>
                <w:spacing w:val="3"/>
                <w:highlight w:val="none"/>
              </w:rPr>
              <w:t>比选保证金</w:t>
            </w:r>
          </w:p>
        </w:tc>
        <w:tc>
          <w:tcPr>
            <w:tcW w:w="3710" w:type="dxa"/>
            <w:vAlign w:val="top"/>
          </w:tcPr>
          <w:p w14:paraId="300144D9">
            <w:pPr>
              <w:pStyle w:val="7"/>
              <w:spacing w:before="17" w:line="213" w:lineRule="auto"/>
              <w:ind w:left="118" w:right="240" w:firstLine="2"/>
              <w:rPr>
                <w:highlight w:val="none"/>
              </w:rPr>
            </w:pPr>
            <w:r>
              <w:rPr>
                <w:spacing w:val="9"/>
                <w:highlight w:val="none"/>
              </w:rPr>
              <w:t>到账截止时间前按照第一篇要求提交</w:t>
            </w:r>
            <w:r>
              <w:rPr>
                <w:highlight w:val="none"/>
              </w:rPr>
              <w:t xml:space="preserve"> </w:t>
            </w:r>
            <w:r>
              <w:rPr>
                <w:spacing w:val="7"/>
                <w:highlight w:val="none"/>
              </w:rPr>
              <w:t>足额比选保证金。</w:t>
            </w:r>
          </w:p>
        </w:tc>
      </w:tr>
    </w:tbl>
    <w:p w14:paraId="3603456C">
      <w:pPr>
        <w:spacing w:before="115" w:line="224" w:lineRule="auto"/>
        <w:ind w:left="601"/>
        <w:rPr>
          <w:rFonts w:ascii="宋体" w:hAnsi="宋体" w:eastAsia="宋体" w:cs="宋体"/>
          <w:sz w:val="24"/>
          <w:szCs w:val="24"/>
          <w:highlight w:val="none"/>
        </w:rPr>
      </w:pPr>
      <w:r>
        <w:rPr>
          <w:rFonts w:ascii="宋体" w:hAnsi="宋体" w:eastAsia="宋体" w:cs="宋体"/>
          <w:spacing w:val="-5"/>
          <w:sz w:val="24"/>
          <w:szCs w:val="24"/>
          <w:highlight w:val="none"/>
        </w:rPr>
        <w:t>注：</w:t>
      </w:r>
    </w:p>
    <w:p w14:paraId="6CB40CF5">
      <w:pPr>
        <w:spacing w:before="42" w:line="236" w:lineRule="auto"/>
        <w:ind w:left="126" w:right="255" w:firstLine="510"/>
        <w:rPr>
          <w:rFonts w:ascii="宋体" w:hAnsi="宋体" w:eastAsia="宋体" w:cs="宋体"/>
          <w:sz w:val="24"/>
          <w:szCs w:val="24"/>
          <w:highlight w:val="none"/>
        </w:rPr>
      </w:pPr>
      <w:r>
        <w:rPr>
          <w:rFonts w:hint="default" w:ascii="Calibri" w:hAnsi="Calibri" w:cs="Calibri"/>
          <w:spacing w:val="1"/>
          <w:highlight w:val="none"/>
        </w:rPr>
        <w:t>①</w:t>
      </w:r>
      <w:r>
        <w:rPr>
          <w:rFonts w:ascii="宋体" w:hAnsi="宋体" w:eastAsia="宋体" w:cs="宋体"/>
          <w:spacing w:val="-7"/>
          <w:sz w:val="24"/>
          <w:szCs w:val="24"/>
          <w:highlight w:val="none"/>
        </w:rPr>
        <w:t>供应商按“多证合一</w:t>
      </w:r>
      <w:r>
        <w:rPr>
          <w:rFonts w:ascii="宋体" w:hAnsi="宋体" w:eastAsia="宋体" w:cs="宋体"/>
          <w:spacing w:val="-78"/>
          <w:sz w:val="24"/>
          <w:szCs w:val="24"/>
          <w:highlight w:val="none"/>
        </w:rPr>
        <w:t xml:space="preserve"> </w:t>
      </w:r>
      <w:r>
        <w:rPr>
          <w:rFonts w:ascii="宋体" w:hAnsi="宋体" w:eastAsia="宋体" w:cs="宋体"/>
          <w:spacing w:val="-7"/>
          <w:sz w:val="24"/>
          <w:szCs w:val="24"/>
          <w:highlight w:val="none"/>
        </w:rPr>
        <w:t>”登记制度办理营业执照的，税务登记证（副本）和社会保险</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登记证以供应商所提供的营业执照（副本）复印件为准。</w:t>
      </w:r>
    </w:p>
    <w:p w14:paraId="5A598454">
      <w:pPr>
        <w:spacing w:before="48" w:line="277" w:lineRule="auto"/>
        <w:ind w:left="122" w:right="255" w:firstLine="514"/>
        <w:rPr>
          <w:rFonts w:ascii="宋体" w:hAnsi="宋体" w:eastAsia="宋体" w:cs="宋体"/>
          <w:sz w:val="24"/>
          <w:szCs w:val="24"/>
          <w:highlight w:val="none"/>
        </w:rPr>
      </w:pPr>
      <w:r>
        <w:rPr>
          <w:rFonts w:hint="default" w:ascii="Calibri" w:hAnsi="Calibri" w:eastAsia="宋体" w:cs="Calibri"/>
          <w:sz w:val="22"/>
          <w:szCs w:val="22"/>
          <w:highlight w:val="none"/>
        </w:rPr>
        <w:t>②</w:t>
      </w:r>
      <w:r>
        <w:rPr>
          <w:rFonts w:ascii="宋体" w:hAnsi="宋体" w:eastAsia="宋体" w:cs="宋体"/>
          <w:spacing w:val="-8"/>
          <w:sz w:val="24"/>
          <w:szCs w:val="24"/>
          <w:highlight w:val="none"/>
        </w:rPr>
        <w:t>经营活动中没有重大违法记录</w:t>
      </w:r>
      <w:r>
        <w:rPr>
          <w:rFonts w:ascii="宋体" w:hAnsi="宋体" w:eastAsia="宋体" w:cs="宋体"/>
          <w:spacing w:val="-72"/>
          <w:sz w:val="24"/>
          <w:szCs w:val="24"/>
          <w:highlight w:val="none"/>
        </w:rPr>
        <w:t xml:space="preserve"> </w:t>
      </w:r>
      <w:r>
        <w:rPr>
          <w:rFonts w:ascii="宋体" w:hAnsi="宋体" w:eastAsia="宋体" w:cs="宋体"/>
          <w:spacing w:val="-8"/>
          <w:sz w:val="24"/>
          <w:szCs w:val="24"/>
          <w:highlight w:val="none"/>
        </w:rPr>
        <w:t>”中“重大违法记录</w:t>
      </w:r>
      <w:r>
        <w:rPr>
          <w:rFonts w:ascii="宋体" w:hAnsi="宋体" w:eastAsia="宋体" w:cs="宋体"/>
          <w:spacing w:val="-88"/>
          <w:sz w:val="24"/>
          <w:szCs w:val="24"/>
          <w:highlight w:val="none"/>
        </w:rPr>
        <w:t xml:space="preserve"> </w:t>
      </w:r>
      <w:r>
        <w:rPr>
          <w:rFonts w:ascii="宋体" w:hAnsi="宋体" w:eastAsia="宋体" w:cs="宋体"/>
          <w:spacing w:val="-8"/>
          <w:sz w:val="24"/>
          <w:szCs w:val="24"/>
          <w:highlight w:val="none"/>
        </w:rPr>
        <w:t>”，是指供应商因违法经营受到</w:t>
      </w:r>
      <w:r>
        <w:rPr>
          <w:rFonts w:ascii="宋体" w:hAnsi="宋体" w:eastAsia="宋体" w:cs="宋体"/>
          <w:sz w:val="24"/>
          <w:szCs w:val="24"/>
          <w:highlight w:val="none"/>
        </w:rPr>
        <w:t xml:space="preserve"> 刑事处罚或者责令停产停业、吊销许可证或者执照、较大数额</w:t>
      </w:r>
      <w:r>
        <w:rPr>
          <w:rFonts w:ascii="宋体" w:hAnsi="宋体" w:eastAsia="宋体" w:cs="宋体"/>
          <w:spacing w:val="-1"/>
          <w:sz w:val="24"/>
          <w:szCs w:val="24"/>
          <w:highlight w:val="none"/>
        </w:rPr>
        <w:t>罚款等行政处罚。行政处罚</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中“较大数额</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”的认定标准，由执行人所在的省、</w:t>
      </w:r>
      <w:r>
        <w:rPr>
          <w:rFonts w:ascii="宋体" w:hAnsi="宋体" w:eastAsia="宋体" w:cs="宋体"/>
          <w:spacing w:val="-71"/>
          <w:sz w:val="24"/>
          <w:szCs w:val="24"/>
          <w:highlight w:val="none"/>
        </w:rPr>
        <w:t xml:space="preserve"> </w:t>
      </w:r>
      <w:r>
        <w:rPr>
          <w:rFonts w:ascii="宋体" w:hAnsi="宋体" w:eastAsia="宋体" w:cs="宋体"/>
          <w:spacing w:val="-2"/>
          <w:sz w:val="24"/>
          <w:szCs w:val="24"/>
          <w:highlight w:val="none"/>
        </w:rPr>
        <w:t>自治</w:t>
      </w:r>
      <w:r>
        <w:rPr>
          <w:rFonts w:ascii="宋体" w:hAnsi="宋体" w:eastAsia="宋体" w:cs="宋体"/>
          <w:spacing w:val="-3"/>
          <w:sz w:val="24"/>
          <w:szCs w:val="24"/>
          <w:highlight w:val="none"/>
        </w:rPr>
        <w:t>区、直辖市人民政府制定，国务院</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有关部门规定了较大数额标准的，从其规定。</w:t>
      </w:r>
    </w:p>
    <w:p w14:paraId="18A81A1F">
      <w:pPr>
        <w:spacing w:before="60" w:line="299" w:lineRule="auto"/>
        <w:ind w:left="123" w:right="255" w:firstLine="495"/>
        <w:rPr>
          <w:rFonts w:ascii="宋体" w:hAnsi="宋体" w:eastAsia="宋体" w:cs="宋体"/>
          <w:sz w:val="24"/>
          <w:szCs w:val="24"/>
          <w:highlight w:val="none"/>
        </w:rPr>
      </w:pPr>
      <w:r>
        <w:rPr>
          <w:rFonts w:ascii="宋体" w:hAnsi="宋体" w:eastAsia="宋体" w:cs="宋体"/>
          <w:spacing w:val="-2"/>
          <w:sz w:val="24"/>
          <w:szCs w:val="24"/>
          <w:highlight w:val="none"/>
        </w:rPr>
        <w:t>1. 符合性检查。依据竞争性比选文件的规定</w:t>
      </w:r>
      <w:r>
        <w:rPr>
          <w:rFonts w:ascii="宋体" w:hAnsi="宋体" w:eastAsia="宋体" w:cs="宋体"/>
          <w:spacing w:val="-3"/>
          <w:sz w:val="24"/>
          <w:szCs w:val="24"/>
          <w:highlight w:val="none"/>
        </w:rPr>
        <w:t>，从响应文件的有效性、完整性和对竞争</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性比选文件的响应程度进行审查，以确定是否</w:t>
      </w:r>
      <w:r>
        <w:rPr>
          <w:rFonts w:ascii="宋体" w:hAnsi="宋体" w:eastAsia="宋体" w:cs="宋体"/>
          <w:sz w:val="24"/>
          <w:szCs w:val="24"/>
          <w:highlight w:val="none"/>
        </w:rPr>
        <w:t xml:space="preserve">对竞争性比选文件的实质性要求作出响应。 </w:t>
      </w:r>
      <w:r>
        <w:rPr>
          <w:rFonts w:ascii="宋体" w:hAnsi="宋体" w:eastAsia="宋体" w:cs="宋体"/>
          <w:spacing w:val="-2"/>
          <w:sz w:val="24"/>
          <w:szCs w:val="24"/>
          <w:highlight w:val="none"/>
        </w:rPr>
        <w:t>符合性检查资料表如下：</w:t>
      </w:r>
    </w:p>
    <w:p w14:paraId="44A271D8">
      <w:pPr>
        <w:spacing w:line="299" w:lineRule="auto"/>
        <w:rPr>
          <w:rFonts w:ascii="宋体" w:hAnsi="宋体" w:eastAsia="宋体" w:cs="宋体"/>
          <w:sz w:val="24"/>
          <w:szCs w:val="24"/>
          <w:highlight w:val="none"/>
        </w:rPr>
        <w:sectPr>
          <w:footerReference r:id="rId10" w:type="default"/>
          <w:pgSz w:w="11907" w:h="16840"/>
          <w:pgMar w:top="933" w:right="935" w:bottom="1200" w:left="1191" w:header="0" w:footer="996" w:gutter="0"/>
          <w:cols w:space="720" w:num="1"/>
        </w:sectPr>
      </w:pPr>
    </w:p>
    <w:tbl>
      <w:tblPr>
        <w:tblStyle w:val="6"/>
        <w:tblW w:w="9632"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59"/>
        <w:gridCol w:w="1983"/>
        <w:gridCol w:w="5411"/>
      </w:tblGrid>
      <w:tr w14:paraId="0AD7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79" w:type="dxa"/>
            <w:vAlign w:val="top"/>
          </w:tcPr>
          <w:p w14:paraId="17491AF7">
            <w:pPr>
              <w:pStyle w:val="7"/>
              <w:spacing w:before="117" w:line="229" w:lineRule="auto"/>
              <w:ind w:left="133"/>
              <w:rPr>
                <w:highlight w:val="none"/>
              </w:rPr>
            </w:pPr>
            <w:r>
              <w:rPr>
                <w:b/>
                <w:bCs/>
                <w:spacing w:val="4"/>
                <w:highlight w:val="none"/>
              </w:rPr>
              <w:t>序号</w:t>
            </w:r>
          </w:p>
        </w:tc>
        <w:tc>
          <w:tcPr>
            <w:tcW w:w="3542" w:type="dxa"/>
            <w:gridSpan w:val="2"/>
            <w:vAlign w:val="top"/>
          </w:tcPr>
          <w:p w14:paraId="62921711">
            <w:pPr>
              <w:pStyle w:val="7"/>
              <w:spacing w:before="116" w:line="228" w:lineRule="auto"/>
              <w:ind w:left="1352"/>
              <w:rPr>
                <w:highlight w:val="none"/>
              </w:rPr>
            </w:pPr>
            <w:r>
              <w:rPr>
                <w:b/>
                <w:bCs/>
                <w:spacing w:val="6"/>
                <w:highlight w:val="none"/>
              </w:rPr>
              <w:t>评审因素</w:t>
            </w:r>
          </w:p>
        </w:tc>
        <w:tc>
          <w:tcPr>
            <w:tcW w:w="5411" w:type="dxa"/>
            <w:vAlign w:val="top"/>
          </w:tcPr>
          <w:p w14:paraId="2D947B61">
            <w:pPr>
              <w:pStyle w:val="7"/>
              <w:spacing w:before="117" w:line="228" w:lineRule="auto"/>
              <w:ind w:left="2286"/>
              <w:rPr>
                <w:highlight w:val="none"/>
              </w:rPr>
            </w:pPr>
            <w:r>
              <w:rPr>
                <w:b/>
                <w:bCs/>
                <w:spacing w:val="6"/>
                <w:highlight w:val="none"/>
              </w:rPr>
              <w:t>评审标准</w:t>
            </w:r>
          </w:p>
        </w:tc>
      </w:tr>
      <w:tr w14:paraId="1E7D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79" w:type="dxa"/>
            <w:vMerge w:val="restart"/>
            <w:tcBorders>
              <w:bottom w:val="nil"/>
            </w:tcBorders>
            <w:vAlign w:val="top"/>
          </w:tcPr>
          <w:p w14:paraId="263784F7">
            <w:pPr>
              <w:spacing w:line="279" w:lineRule="auto"/>
              <w:rPr>
                <w:rFonts w:ascii="Arial"/>
                <w:sz w:val="21"/>
                <w:highlight w:val="none"/>
              </w:rPr>
            </w:pPr>
          </w:p>
          <w:p w14:paraId="0700DABF">
            <w:pPr>
              <w:spacing w:line="279" w:lineRule="auto"/>
              <w:rPr>
                <w:rFonts w:ascii="Arial"/>
                <w:sz w:val="21"/>
                <w:highlight w:val="none"/>
              </w:rPr>
            </w:pPr>
          </w:p>
          <w:p w14:paraId="1CBFC5C2">
            <w:pPr>
              <w:spacing w:line="279" w:lineRule="auto"/>
              <w:rPr>
                <w:rFonts w:ascii="Arial"/>
                <w:sz w:val="21"/>
                <w:highlight w:val="none"/>
              </w:rPr>
            </w:pPr>
          </w:p>
          <w:p w14:paraId="56D019DC">
            <w:pPr>
              <w:pStyle w:val="7"/>
              <w:spacing w:before="65" w:line="189" w:lineRule="auto"/>
              <w:ind w:left="308"/>
              <w:rPr>
                <w:highlight w:val="none"/>
              </w:rPr>
            </w:pPr>
            <w:r>
              <w:rPr>
                <w:highlight w:val="none"/>
              </w:rPr>
              <w:t>1</w:t>
            </w:r>
          </w:p>
        </w:tc>
        <w:tc>
          <w:tcPr>
            <w:tcW w:w="1559" w:type="dxa"/>
            <w:vMerge w:val="restart"/>
            <w:tcBorders>
              <w:bottom w:val="nil"/>
            </w:tcBorders>
            <w:vAlign w:val="top"/>
          </w:tcPr>
          <w:p w14:paraId="17ADACE4">
            <w:pPr>
              <w:spacing w:line="268" w:lineRule="auto"/>
              <w:rPr>
                <w:rFonts w:ascii="Arial"/>
                <w:sz w:val="21"/>
                <w:highlight w:val="none"/>
              </w:rPr>
            </w:pPr>
          </w:p>
          <w:p w14:paraId="3E21E9BA">
            <w:pPr>
              <w:spacing w:line="268" w:lineRule="auto"/>
              <w:rPr>
                <w:rFonts w:ascii="Arial"/>
                <w:sz w:val="21"/>
                <w:highlight w:val="none"/>
              </w:rPr>
            </w:pPr>
          </w:p>
          <w:p w14:paraId="26CB6122">
            <w:pPr>
              <w:spacing w:line="269" w:lineRule="auto"/>
              <w:rPr>
                <w:rFonts w:ascii="Arial"/>
                <w:sz w:val="21"/>
                <w:highlight w:val="none"/>
              </w:rPr>
            </w:pPr>
          </w:p>
          <w:p w14:paraId="00AB5E90">
            <w:pPr>
              <w:pStyle w:val="7"/>
              <w:spacing w:before="65" w:line="228" w:lineRule="auto"/>
              <w:ind w:left="113"/>
              <w:rPr>
                <w:highlight w:val="none"/>
              </w:rPr>
            </w:pPr>
            <w:r>
              <w:rPr>
                <w:spacing w:val="7"/>
                <w:highlight w:val="none"/>
              </w:rPr>
              <w:t>有效性审查</w:t>
            </w:r>
          </w:p>
        </w:tc>
        <w:tc>
          <w:tcPr>
            <w:tcW w:w="1983" w:type="dxa"/>
            <w:vAlign w:val="top"/>
          </w:tcPr>
          <w:p w14:paraId="7DAF8940">
            <w:pPr>
              <w:pStyle w:val="7"/>
              <w:spacing w:before="118" w:line="228" w:lineRule="auto"/>
              <w:ind w:left="124"/>
              <w:rPr>
                <w:highlight w:val="none"/>
              </w:rPr>
            </w:pPr>
            <w:r>
              <w:rPr>
                <w:spacing w:val="6"/>
                <w:highlight w:val="none"/>
              </w:rPr>
              <w:t>响应文件签署</w:t>
            </w:r>
          </w:p>
        </w:tc>
        <w:tc>
          <w:tcPr>
            <w:tcW w:w="5411" w:type="dxa"/>
            <w:vAlign w:val="top"/>
          </w:tcPr>
          <w:p w14:paraId="7F285432">
            <w:pPr>
              <w:pStyle w:val="7"/>
              <w:spacing w:before="118" w:line="228" w:lineRule="auto"/>
              <w:ind w:left="124"/>
              <w:rPr>
                <w:highlight w:val="none"/>
              </w:rPr>
            </w:pPr>
            <w:r>
              <w:rPr>
                <w:spacing w:val="8"/>
                <w:highlight w:val="none"/>
              </w:rPr>
              <w:t>响应文件上法定代表人或其授权代表人的签字齐全。</w:t>
            </w:r>
          </w:p>
        </w:tc>
      </w:tr>
      <w:tr w14:paraId="4E83D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79" w:type="dxa"/>
            <w:vMerge w:val="continue"/>
            <w:tcBorders>
              <w:top w:val="nil"/>
              <w:bottom w:val="nil"/>
            </w:tcBorders>
            <w:vAlign w:val="top"/>
          </w:tcPr>
          <w:p w14:paraId="4A0E68E4">
            <w:pPr>
              <w:rPr>
                <w:rFonts w:ascii="Arial"/>
                <w:sz w:val="21"/>
                <w:highlight w:val="none"/>
              </w:rPr>
            </w:pPr>
          </w:p>
        </w:tc>
        <w:tc>
          <w:tcPr>
            <w:tcW w:w="1559" w:type="dxa"/>
            <w:vMerge w:val="continue"/>
            <w:tcBorders>
              <w:top w:val="nil"/>
              <w:bottom w:val="nil"/>
            </w:tcBorders>
            <w:vAlign w:val="top"/>
          </w:tcPr>
          <w:p w14:paraId="76309202">
            <w:pPr>
              <w:rPr>
                <w:rFonts w:ascii="Arial"/>
                <w:sz w:val="21"/>
                <w:highlight w:val="none"/>
              </w:rPr>
            </w:pPr>
          </w:p>
        </w:tc>
        <w:tc>
          <w:tcPr>
            <w:tcW w:w="1983" w:type="dxa"/>
            <w:vAlign w:val="top"/>
          </w:tcPr>
          <w:p w14:paraId="5A461896">
            <w:pPr>
              <w:pStyle w:val="7"/>
              <w:spacing w:before="70" w:line="224" w:lineRule="auto"/>
              <w:ind w:left="132" w:right="194" w:hanging="18"/>
              <w:rPr>
                <w:highlight w:val="none"/>
              </w:rPr>
            </w:pPr>
            <w:r>
              <w:rPr>
                <w:spacing w:val="8"/>
                <w:highlight w:val="none"/>
              </w:rPr>
              <w:t>法定代表人身份证</w:t>
            </w:r>
            <w:r>
              <w:rPr>
                <w:spacing w:val="3"/>
                <w:highlight w:val="none"/>
              </w:rPr>
              <w:t xml:space="preserve"> </w:t>
            </w:r>
            <w:r>
              <w:rPr>
                <w:spacing w:val="5"/>
                <w:highlight w:val="none"/>
              </w:rPr>
              <w:t>明及授权委托书</w:t>
            </w:r>
          </w:p>
        </w:tc>
        <w:tc>
          <w:tcPr>
            <w:tcW w:w="5411" w:type="dxa"/>
            <w:vAlign w:val="top"/>
          </w:tcPr>
          <w:p w14:paraId="7E6C9081">
            <w:pPr>
              <w:pStyle w:val="7"/>
              <w:spacing w:before="70" w:line="224" w:lineRule="auto"/>
              <w:ind w:left="114" w:right="109"/>
              <w:rPr>
                <w:highlight w:val="none"/>
              </w:rPr>
            </w:pPr>
            <w:r>
              <w:rPr>
                <w:spacing w:val="7"/>
                <w:highlight w:val="none"/>
              </w:rPr>
              <w:t>法定代表人身份证明及授权委托书有效，符合竞争性比选</w:t>
            </w:r>
            <w:r>
              <w:rPr>
                <w:spacing w:val="6"/>
                <w:highlight w:val="none"/>
              </w:rPr>
              <w:t xml:space="preserve"> </w:t>
            </w:r>
            <w:r>
              <w:rPr>
                <w:spacing w:val="8"/>
                <w:highlight w:val="none"/>
              </w:rPr>
              <w:t>文件规定的格式，签字或盖章齐全。</w:t>
            </w:r>
          </w:p>
        </w:tc>
      </w:tr>
      <w:tr w14:paraId="39924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9" w:type="dxa"/>
            <w:vMerge w:val="continue"/>
            <w:tcBorders>
              <w:top w:val="nil"/>
              <w:bottom w:val="nil"/>
            </w:tcBorders>
            <w:vAlign w:val="top"/>
          </w:tcPr>
          <w:p w14:paraId="0CA3621E">
            <w:pPr>
              <w:rPr>
                <w:rFonts w:ascii="Arial"/>
                <w:sz w:val="21"/>
                <w:highlight w:val="none"/>
              </w:rPr>
            </w:pPr>
          </w:p>
        </w:tc>
        <w:tc>
          <w:tcPr>
            <w:tcW w:w="1559" w:type="dxa"/>
            <w:vMerge w:val="continue"/>
            <w:tcBorders>
              <w:top w:val="nil"/>
              <w:bottom w:val="nil"/>
            </w:tcBorders>
            <w:vAlign w:val="top"/>
          </w:tcPr>
          <w:p w14:paraId="507E9E41">
            <w:pPr>
              <w:rPr>
                <w:rFonts w:ascii="Arial"/>
                <w:sz w:val="21"/>
                <w:highlight w:val="none"/>
              </w:rPr>
            </w:pPr>
          </w:p>
        </w:tc>
        <w:tc>
          <w:tcPr>
            <w:tcW w:w="1983" w:type="dxa"/>
            <w:vAlign w:val="top"/>
          </w:tcPr>
          <w:p w14:paraId="35C6A0AF">
            <w:pPr>
              <w:pStyle w:val="7"/>
              <w:spacing w:before="56" w:line="228" w:lineRule="auto"/>
              <w:ind w:left="124"/>
              <w:rPr>
                <w:highlight w:val="none"/>
              </w:rPr>
            </w:pPr>
            <w:r>
              <w:rPr>
                <w:spacing w:val="4"/>
                <w:highlight w:val="none"/>
              </w:rPr>
              <w:t>响应方案</w:t>
            </w:r>
          </w:p>
        </w:tc>
        <w:tc>
          <w:tcPr>
            <w:tcW w:w="5411" w:type="dxa"/>
            <w:vAlign w:val="top"/>
          </w:tcPr>
          <w:p w14:paraId="7DE63837">
            <w:pPr>
              <w:pStyle w:val="7"/>
              <w:spacing w:before="56" w:line="228" w:lineRule="auto"/>
              <w:ind w:left="113"/>
              <w:rPr>
                <w:highlight w:val="none"/>
              </w:rPr>
            </w:pPr>
            <w:r>
              <w:rPr>
                <w:spacing w:val="8"/>
                <w:highlight w:val="none"/>
              </w:rPr>
              <w:t>每个分包只能有一个响应方案。</w:t>
            </w:r>
          </w:p>
        </w:tc>
      </w:tr>
      <w:tr w14:paraId="4E7C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Merge w:val="continue"/>
            <w:tcBorders>
              <w:top w:val="nil"/>
            </w:tcBorders>
            <w:vAlign w:val="top"/>
          </w:tcPr>
          <w:p w14:paraId="2130AFCE">
            <w:pPr>
              <w:rPr>
                <w:rFonts w:ascii="Arial"/>
                <w:sz w:val="21"/>
                <w:highlight w:val="none"/>
              </w:rPr>
            </w:pPr>
          </w:p>
        </w:tc>
        <w:tc>
          <w:tcPr>
            <w:tcW w:w="1559" w:type="dxa"/>
            <w:vMerge w:val="continue"/>
            <w:tcBorders>
              <w:top w:val="nil"/>
            </w:tcBorders>
            <w:vAlign w:val="top"/>
          </w:tcPr>
          <w:p w14:paraId="48FF8E06">
            <w:pPr>
              <w:rPr>
                <w:rFonts w:ascii="Arial"/>
                <w:sz w:val="21"/>
                <w:highlight w:val="none"/>
              </w:rPr>
            </w:pPr>
          </w:p>
        </w:tc>
        <w:tc>
          <w:tcPr>
            <w:tcW w:w="1983" w:type="dxa"/>
            <w:vAlign w:val="top"/>
          </w:tcPr>
          <w:p w14:paraId="603FD7FC">
            <w:pPr>
              <w:pStyle w:val="7"/>
              <w:spacing w:before="174" w:line="226" w:lineRule="auto"/>
              <w:ind w:left="112"/>
              <w:rPr>
                <w:highlight w:val="none"/>
              </w:rPr>
            </w:pPr>
            <w:r>
              <w:rPr>
                <w:spacing w:val="8"/>
                <w:highlight w:val="none"/>
              </w:rPr>
              <w:t>报价唯一</w:t>
            </w:r>
          </w:p>
        </w:tc>
        <w:tc>
          <w:tcPr>
            <w:tcW w:w="5411" w:type="dxa"/>
            <w:vAlign w:val="top"/>
          </w:tcPr>
          <w:p w14:paraId="17919006">
            <w:pPr>
              <w:pStyle w:val="7"/>
              <w:spacing w:before="53" w:line="224" w:lineRule="auto"/>
              <w:ind w:left="114" w:right="109" w:firstLine="11"/>
              <w:rPr>
                <w:highlight w:val="none"/>
              </w:rPr>
            </w:pPr>
            <w:r>
              <w:rPr>
                <w:spacing w:val="7"/>
                <w:highlight w:val="none"/>
              </w:rPr>
              <w:t>只能在采购限价范围内报价，只能有一个有</w:t>
            </w:r>
            <w:r>
              <w:rPr>
                <w:spacing w:val="6"/>
                <w:highlight w:val="none"/>
              </w:rPr>
              <w:t>效报价，不得</w:t>
            </w:r>
            <w:r>
              <w:rPr>
                <w:highlight w:val="none"/>
              </w:rPr>
              <w:t xml:space="preserve"> </w:t>
            </w:r>
            <w:r>
              <w:rPr>
                <w:spacing w:val="7"/>
                <w:highlight w:val="none"/>
              </w:rPr>
              <w:t>提交选择性报价。</w:t>
            </w:r>
          </w:p>
        </w:tc>
      </w:tr>
      <w:tr w14:paraId="50761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9" w:type="dxa"/>
            <w:vAlign w:val="top"/>
          </w:tcPr>
          <w:p w14:paraId="008368FF">
            <w:pPr>
              <w:pStyle w:val="7"/>
              <w:spacing w:before="168" w:line="189" w:lineRule="auto"/>
              <w:ind w:left="295"/>
              <w:rPr>
                <w:highlight w:val="none"/>
              </w:rPr>
            </w:pPr>
            <w:r>
              <w:rPr>
                <w:highlight w:val="none"/>
              </w:rPr>
              <w:t>2</w:t>
            </w:r>
          </w:p>
        </w:tc>
        <w:tc>
          <w:tcPr>
            <w:tcW w:w="1559" w:type="dxa"/>
            <w:vAlign w:val="top"/>
          </w:tcPr>
          <w:p w14:paraId="0661DE0E">
            <w:pPr>
              <w:pStyle w:val="7"/>
              <w:spacing w:before="135" w:line="228" w:lineRule="auto"/>
              <w:ind w:left="114"/>
              <w:rPr>
                <w:highlight w:val="none"/>
              </w:rPr>
            </w:pPr>
            <w:r>
              <w:rPr>
                <w:spacing w:val="7"/>
                <w:highlight w:val="none"/>
              </w:rPr>
              <w:t>完整性审查</w:t>
            </w:r>
          </w:p>
        </w:tc>
        <w:tc>
          <w:tcPr>
            <w:tcW w:w="1983" w:type="dxa"/>
            <w:vAlign w:val="top"/>
          </w:tcPr>
          <w:p w14:paraId="78E379AD">
            <w:pPr>
              <w:pStyle w:val="7"/>
              <w:spacing w:before="135" w:line="228" w:lineRule="auto"/>
              <w:ind w:left="124"/>
              <w:rPr>
                <w:highlight w:val="none"/>
              </w:rPr>
            </w:pPr>
            <w:r>
              <w:rPr>
                <w:spacing w:val="6"/>
                <w:highlight w:val="none"/>
              </w:rPr>
              <w:t>响应文件份数</w:t>
            </w:r>
          </w:p>
        </w:tc>
        <w:tc>
          <w:tcPr>
            <w:tcW w:w="5411" w:type="dxa"/>
            <w:vAlign w:val="top"/>
          </w:tcPr>
          <w:p w14:paraId="08CF0830">
            <w:pPr>
              <w:pStyle w:val="7"/>
              <w:spacing w:before="14" w:line="212" w:lineRule="auto"/>
              <w:ind w:left="112" w:right="109" w:firstLine="11"/>
              <w:rPr>
                <w:highlight w:val="none"/>
              </w:rPr>
            </w:pPr>
            <w:r>
              <w:rPr>
                <w:spacing w:val="7"/>
                <w:highlight w:val="none"/>
              </w:rPr>
              <w:t>响应文件正、副本数量（含电子文档）符合竞争</w:t>
            </w:r>
            <w:r>
              <w:rPr>
                <w:spacing w:val="6"/>
                <w:highlight w:val="none"/>
              </w:rPr>
              <w:t>性比选文</w:t>
            </w:r>
            <w:r>
              <w:rPr>
                <w:highlight w:val="none"/>
              </w:rPr>
              <w:t xml:space="preserve"> </w:t>
            </w:r>
            <w:r>
              <w:rPr>
                <w:spacing w:val="5"/>
                <w:highlight w:val="none"/>
              </w:rPr>
              <w:t>件要求。</w:t>
            </w:r>
          </w:p>
        </w:tc>
      </w:tr>
      <w:tr w14:paraId="2DCEC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9" w:type="dxa"/>
            <w:vMerge w:val="restart"/>
            <w:tcBorders>
              <w:bottom w:val="nil"/>
            </w:tcBorders>
            <w:vAlign w:val="top"/>
          </w:tcPr>
          <w:p w14:paraId="4C92D36A">
            <w:pPr>
              <w:spacing w:line="258" w:lineRule="auto"/>
              <w:rPr>
                <w:rFonts w:ascii="Arial"/>
                <w:sz w:val="21"/>
                <w:highlight w:val="none"/>
              </w:rPr>
            </w:pPr>
          </w:p>
          <w:p w14:paraId="5582CC4C">
            <w:pPr>
              <w:pStyle w:val="7"/>
              <w:spacing w:before="65" w:line="189" w:lineRule="auto"/>
              <w:ind w:left="296"/>
              <w:rPr>
                <w:highlight w:val="none"/>
              </w:rPr>
            </w:pPr>
            <w:r>
              <w:rPr>
                <w:highlight w:val="none"/>
              </w:rPr>
              <w:t>3</w:t>
            </w:r>
          </w:p>
        </w:tc>
        <w:tc>
          <w:tcPr>
            <w:tcW w:w="1559" w:type="dxa"/>
            <w:vMerge w:val="restart"/>
            <w:tcBorders>
              <w:bottom w:val="nil"/>
            </w:tcBorders>
            <w:vAlign w:val="top"/>
          </w:tcPr>
          <w:p w14:paraId="7949E97D">
            <w:pPr>
              <w:pStyle w:val="7"/>
              <w:spacing w:before="51" w:line="224" w:lineRule="auto"/>
              <w:ind w:left="112" w:right="191" w:firstLine="3"/>
              <w:jc w:val="both"/>
              <w:rPr>
                <w:highlight w:val="none"/>
              </w:rPr>
            </w:pPr>
            <w:r>
              <w:rPr>
                <w:spacing w:val="7"/>
                <w:highlight w:val="none"/>
              </w:rPr>
              <w:t>竞争性比选文</w:t>
            </w:r>
            <w:r>
              <w:rPr>
                <w:spacing w:val="4"/>
                <w:highlight w:val="none"/>
              </w:rPr>
              <w:t xml:space="preserve"> </w:t>
            </w:r>
            <w:r>
              <w:rPr>
                <w:spacing w:val="8"/>
                <w:highlight w:val="none"/>
              </w:rPr>
              <w:t>件的响应程度</w:t>
            </w:r>
            <w:r>
              <w:rPr>
                <w:spacing w:val="1"/>
                <w:highlight w:val="none"/>
              </w:rPr>
              <w:t xml:space="preserve"> </w:t>
            </w:r>
            <w:r>
              <w:rPr>
                <w:spacing w:val="5"/>
                <w:highlight w:val="none"/>
              </w:rPr>
              <w:t>审查</w:t>
            </w:r>
          </w:p>
        </w:tc>
        <w:tc>
          <w:tcPr>
            <w:tcW w:w="1983" w:type="dxa"/>
            <w:vAlign w:val="top"/>
          </w:tcPr>
          <w:p w14:paraId="1ACA49A2">
            <w:pPr>
              <w:pStyle w:val="7"/>
              <w:spacing w:before="135" w:line="228" w:lineRule="auto"/>
              <w:ind w:left="124"/>
              <w:rPr>
                <w:highlight w:val="none"/>
              </w:rPr>
            </w:pPr>
            <w:r>
              <w:rPr>
                <w:spacing w:val="6"/>
                <w:highlight w:val="none"/>
              </w:rPr>
              <w:t>响应文件内容</w:t>
            </w:r>
          </w:p>
        </w:tc>
        <w:tc>
          <w:tcPr>
            <w:tcW w:w="5411" w:type="dxa"/>
            <w:vAlign w:val="top"/>
          </w:tcPr>
          <w:p w14:paraId="01B6CD54">
            <w:pPr>
              <w:pStyle w:val="7"/>
              <w:spacing w:before="16" w:line="211" w:lineRule="auto"/>
              <w:ind w:left="130" w:right="109" w:hanging="18"/>
              <w:rPr>
                <w:highlight w:val="none"/>
              </w:rPr>
            </w:pPr>
            <w:r>
              <w:rPr>
                <w:spacing w:val="5"/>
                <w:highlight w:val="none"/>
              </w:rPr>
              <w:t>对竞争性比选文件第二篇、第三篇中标注“</w:t>
            </w:r>
            <w:r>
              <w:rPr>
                <w:spacing w:val="-74"/>
                <w:highlight w:val="none"/>
              </w:rPr>
              <w:t xml:space="preserve"> </w:t>
            </w:r>
            <w:r>
              <w:rPr>
                <w:b/>
                <w:bCs/>
                <w:spacing w:val="5"/>
                <w:highlight w:val="none"/>
              </w:rPr>
              <w:t>※</w:t>
            </w:r>
            <w:r>
              <w:rPr>
                <w:spacing w:val="-70"/>
                <w:highlight w:val="none"/>
              </w:rPr>
              <w:t xml:space="preserve"> </w:t>
            </w:r>
            <w:r>
              <w:rPr>
                <w:b/>
                <w:bCs/>
                <w:spacing w:val="5"/>
                <w:highlight w:val="none"/>
              </w:rPr>
              <w:t>”</w:t>
            </w:r>
            <w:r>
              <w:rPr>
                <w:spacing w:val="5"/>
                <w:highlight w:val="none"/>
              </w:rPr>
              <w:t>的</w:t>
            </w:r>
            <w:r>
              <w:rPr>
                <w:spacing w:val="4"/>
                <w:highlight w:val="none"/>
              </w:rPr>
              <w:t>内容作</w:t>
            </w:r>
            <w:r>
              <w:rPr>
                <w:highlight w:val="none"/>
              </w:rPr>
              <w:t xml:space="preserve"> 出响应。</w:t>
            </w:r>
          </w:p>
        </w:tc>
      </w:tr>
      <w:tr w14:paraId="2F537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79" w:type="dxa"/>
            <w:vMerge w:val="continue"/>
            <w:tcBorders>
              <w:top w:val="nil"/>
            </w:tcBorders>
            <w:vAlign w:val="top"/>
          </w:tcPr>
          <w:p w14:paraId="0566A0A9">
            <w:pPr>
              <w:rPr>
                <w:rFonts w:ascii="Arial"/>
                <w:sz w:val="21"/>
                <w:highlight w:val="none"/>
              </w:rPr>
            </w:pPr>
          </w:p>
        </w:tc>
        <w:tc>
          <w:tcPr>
            <w:tcW w:w="1559" w:type="dxa"/>
            <w:vMerge w:val="continue"/>
            <w:tcBorders>
              <w:top w:val="nil"/>
            </w:tcBorders>
            <w:vAlign w:val="top"/>
          </w:tcPr>
          <w:p w14:paraId="16C70911">
            <w:pPr>
              <w:rPr>
                <w:rFonts w:ascii="Arial"/>
                <w:sz w:val="21"/>
                <w:highlight w:val="none"/>
              </w:rPr>
            </w:pPr>
          </w:p>
        </w:tc>
        <w:tc>
          <w:tcPr>
            <w:tcW w:w="1983" w:type="dxa"/>
            <w:vAlign w:val="top"/>
          </w:tcPr>
          <w:p w14:paraId="7BA57796">
            <w:pPr>
              <w:pStyle w:val="7"/>
              <w:spacing w:before="48" w:line="228" w:lineRule="auto"/>
              <w:ind w:left="116"/>
              <w:rPr>
                <w:highlight w:val="none"/>
              </w:rPr>
            </w:pPr>
            <w:r>
              <w:rPr>
                <w:spacing w:val="7"/>
                <w:highlight w:val="none"/>
              </w:rPr>
              <w:t>投标有效期</w:t>
            </w:r>
          </w:p>
        </w:tc>
        <w:tc>
          <w:tcPr>
            <w:tcW w:w="5411" w:type="dxa"/>
            <w:vAlign w:val="top"/>
          </w:tcPr>
          <w:p w14:paraId="07257962">
            <w:pPr>
              <w:pStyle w:val="7"/>
              <w:spacing w:before="47" w:line="228" w:lineRule="auto"/>
              <w:ind w:left="113"/>
              <w:rPr>
                <w:highlight w:val="none"/>
              </w:rPr>
            </w:pPr>
            <w:r>
              <w:rPr>
                <w:spacing w:val="8"/>
                <w:highlight w:val="none"/>
              </w:rPr>
              <w:t>满足竞争性比选文件规定。</w:t>
            </w:r>
          </w:p>
        </w:tc>
      </w:tr>
    </w:tbl>
    <w:p w14:paraId="4B4BAF87">
      <w:pPr>
        <w:spacing w:before="115" w:line="294" w:lineRule="auto"/>
        <w:ind w:left="175" w:right="165" w:firstLine="488"/>
        <w:rPr>
          <w:rFonts w:ascii="宋体" w:hAnsi="宋体" w:eastAsia="宋体" w:cs="宋体"/>
          <w:sz w:val="24"/>
          <w:szCs w:val="24"/>
          <w:highlight w:val="none"/>
        </w:rPr>
      </w:pPr>
      <w:bookmarkStart w:id="43" w:name="bookmark24"/>
      <w:bookmarkEnd w:id="43"/>
      <w:r>
        <w:rPr>
          <w:rFonts w:ascii="宋体" w:hAnsi="宋体" w:eastAsia="宋体" w:cs="宋体"/>
          <w:spacing w:val="-1"/>
          <w:sz w:val="24"/>
          <w:szCs w:val="24"/>
          <w:highlight w:val="none"/>
        </w:rPr>
        <w:t>（二）比较与评价。按竞争性比选文件中规定的评标方法和标准，对资格审查和符合</w:t>
      </w:r>
      <w:r>
        <w:rPr>
          <w:rFonts w:ascii="宋体" w:hAnsi="宋体" w:eastAsia="宋体" w:cs="宋体"/>
          <w:spacing w:val="15"/>
          <w:sz w:val="24"/>
          <w:szCs w:val="24"/>
          <w:highlight w:val="none"/>
        </w:rPr>
        <w:t xml:space="preserve"> </w:t>
      </w:r>
      <w:r>
        <w:rPr>
          <w:rFonts w:ascii="宋体" w:hAnsi="宋体" w:eastAsia="宋体" w:cs="宋体"/>
          <w:spacing w:val="-1"/>
          <w:sz w:val="24"/>
          <w:szCs w:val="24"/>
          <w:highlight w:val="none"/>
        </w:rPr>
        <w:t>性审查合格的响应文件进行商务和技术评估。</w:t>
      </w:r>
    </w:p>
    <w:p w14:paraId="4E4CFB12">
      <w:pPr>
        <w:spacing w:before="37" w:line="298" w:lineRule="auto"/>
        <w:ind w:left="175" w:right="165" w:firstLine="476"/>
        <w:jc w:val="both"/>
        <w:rPr>
          <w:rFonts w:ascii="宋体" w:hAnsi="宋体" w:eastAsia="宋体" w:cs="宋体"/>
          <w:sz w:val="24"/>
          <w:szCs w:val="24"/>
          <w:highlight w:val="none"/>
        </w:rPr>
      </w:pPr>
      <w:r>
        <w:rPr>
          <w:rFonts w:ascii="宋体" w:hAnsi="宋体" w:eastAsia="宋体" w:cs="宋体"/>
          <w:sz w:val="24"/>
          <w:szCs w:val="24"/>
          <w:highlight w:val="none"/>
        </w:rPr>
        <w:t>评标委员会各成员独立对每个有效供应商（通过资格审查、符</w:t>
      </w:r>
      <w:r>
        <w:rPr>
          <w:rFonts w:ascii="宋体" w:hAnsi="宋体" w:eastAsia="宋体" w:cs="宋体"/>
          <w:spacing w:val="-1"/>
          <w:sz w:val="24"/>
          <w:szCs w:val="24"/>
          <w:highlight w:val="none"/>
        </w:rPr>
        <w:t>合性审查的供应商）的</w:t>
      </w:r>
      <w:r>
        <w:rPr>
          <w:rFonts w:ascii="宋体" w:hAnsi="宋体" w:eastAsia="宋体" w:cs="宋体"/>
          <w:sz w:val="24"/>
          <w:szCs w:val="24"/>
          <w:highlight w:val="none"/>
        </w:rPr>
        <w:t xml:space="preserve"> 响应文件进行评价、打分，然后由评标委员会对各成员打</w:t>
      </w:r>
      <w:r>
        <w:rPr>
          <w:rFonts w:ascii="宋体" w:hAnsi="宋体" w:eastAsia="宋体" w:cs="宋体"/>
          <w:spacing w:val="-1"/>
          <w:sz w:val="24"/>
          <w:szCs w:val="24"/>
          <w:highlight w:val="none"/>
        </w:rPr>
        <w:t>分情况进行核查及复核，确属打</w:t>
      </w:r>
      <w:r>
        <w:rPr>
          <w:rFonts w:ascii="宋体" w:hAnsi="宋体" w:eastAsia="宋体" w:cs="宋体"/>
          <w:sz w:val="24"/>
          <w:szCs w:val="24"/>
          <w:highlight w:val="none"/>
        </w:rPr>
        <w:t xml:space="preserve"> 分有误的，应及时进行修正。复核后，评标委员会汇总每</w:t>
      </w:r>
      <w:r>
        <w:rPr>
          <w:rFonts w:ascii="宋体" w:hAnsi="宋体" w:eastAsia="宋体" w:cs="宋体"/>
          <w:spacing w:val="-1"/>
          <w:sz w:val="24"/>
          <w:szCs w:val="24"/>
          <w:highlight w:val="none"/>
        </w:rPr>
        <w:t>个供应商每项评分因素的得分。</w:t>
      </w:r>
    </w:p>
    <w:p w14:paraId="09C74320">
      <w:pPr>
        <w:spacing w:before="36" w:line="219" w:lineRule="auto"/>
        <w:ind w:left="663"/>
        <w:rPr>
          <w:rFonts w:ascii="宋体" w:hAnsi="宋体" w:eastAsia="宋体" w:cs="宋体"/>
          <w:sz w:val="24"/>
          <w:szCs w:val="24"/>
          <w:highlight w:val="none"/>
        </w:rPr>
      </w:pPr>
      <w:r>
        <w:rPr>
          <w:rFonts w:ascii="宋体" w:hAnsi="宋体" w:eastAsia="宋体" w:cs="宋体"/>
          <w:spacing w:val="-2"/>
          <w:sz w:val="24"/>
          <w:szCs w:val="24"/>
          <w:highlight w:val="none"/>
        </w:rPr>
        <w:t>（三）推荐入围候选人名单。</w:t>
      </w:r>
    </w:p>
    <w:p w14:paraId="6A38A7E1">
      <w:pPr>
        <w:spacing w:before="114" w:line="304" w:lineRule="auto"/>
        <w:ind w:left="173" w:right="165" w:firstLine="480"/>
        <w:rPr>
          <w:rFonts w:ascii="宋体" w:hAnsi="宋体" w:eastAsia="宋体" w:cs="宋体"/>
          <w:sz w:val="24"/>
          <w:szCs w:val="24"/>
          <w:highlight w:val="none"/>
        </w:rPr>
      </w:pPr>
      <w:r>
        <w:rPr>
          <w:rFonts w:ascii="宋体" w:hAnsi="宋体" w:eastAsia="宋体" w:cs="宋体"/>
          <w:sz w:val="24"/>
          <w:szCs w:val="24"/>
          <w:highlight w:val="none"/>
        </w:rPr>
        <w:t>按评审后得分由高到低的排列顺序推荐排名在每个包需</w:t>
      </w:r>
      <w:r>
        <w:rPr>
          <w:rFonts w:ascii="宋体" w:hAnsi="宋体" w:eastAsia="宋体" w:cs="宋体"/>
          <w:spacing w:val="-1"/>
          <w:sz w:val="24"/>
          <w:szCs w:val="24"/>
          <w:highlight w:val="none"/>
        </w:rPr>
        <w:t>要入围的家数以内的供应商为</w:t>
      </w:r>
      <w:r>
        <w:rPr>
          <w:rFonts w:ascii="宋体" w:hAnsi="宋体" w:eastAsia="宋体" w:cs="宋体"/>
          <w:sz w:val="24"/>
          <w:szCs w:val="24"/>
          <w:highlight w:val="none"/>
        </w:rPr>
        <w:t xml:space="preserve"> 本包（项目）入围候选人，排名第一的为第一入围候选人依次</w:t>
      </w:r>
      <w:r>
        <w:rPr>
          <w:rFonts w:ascii="宋体" w:hAnsi="宋体" w:eastAsia="宋体" w:cs="宋体"/>
          <w:spacing w:val="-1"/>
          <w:sz w:val="24"/>
          <w:szCs w:val="24"/>
          <w:highlight w:val="none"/>
        </w:rPr>
        <w:t>类推。得分相同的，按单个</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项目总限价在</w:t>
      </w:r>
      <w:r>
        <w:rPr>
          <w:rFonts w:ascii="宋体" w:hAnsi="宋体" w:eastAsia="宋体" w:cs="宋体"/>
          <w:spacing w:val="-40"/>
          <w:sz w:val="24"/>
          <w:szCs w:val="24"/>
          <w:highlight w:val="none"/>
        </w:rPr>
        <w:t xml:space="preserve"> </w:t>
      </w:r>
      <w:r>
        <w:rPr>
          <w:rFonts w:ascii="宋体" w:hAnsi="宋体" w:eastAsia="宋体" w:cs="宋体"/>
          <w:spacing w:val="-1"/>
          <w:sz w:val="24"/>
          <w:szCs w:val="24"/>
          <w:highlight w:val="none"/>
        </w:rPr>
        <w:t>0-1.5（含）万元的折扣报价由低到高顺序排列。单个项目总限价在</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0-1.5</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（含）万元的折扣报价相同的。按照按单个项目总限价在</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1.5</w:t>
      </w:r>
      <w:r>
        <w:rPr>
          <w:rFonts w:ascii="宋体" w:hAnsi="宋体" w:eastAsia="宋体" w:cs="宋体"/>
          <w:spacing w:val="-2"/>
          <w:sz w:val="24"/>
          <w:szCs w:val="24"/>
          <w:highlight w:val="none"/>
        </w:rPr>
        <w:t>（不含）-3</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万元的折扣报价</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由低到高顺序排列。单个项目总限价在</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1.5（不含）-3</w:t>
      </w:r>
      <w:r>
        <w:rPr>
          <w:rFonts w:ascii="宋体" w:hAnsi="宋体" w:eastAsia="宋体" w:cs="宋体"/>
          <w:spacing w:val="-45"/>
          <w:sz w:val="24"/>
          <w:szCs w:val="24"/>
          <w:highlight w:val="none"/>
        </w:rPr>
        <w:t xml:space="preserve"> </w:t>
      </w:r>
      <w:r>
        <w:rPr>
          <w:rFonts w:ascii="宋体" w:hAnsi="宋体" w:eastAsia="宋体" w:cs="宋体"/>
          <w:spacing w:val="-1"/>
          <w:sz w:val="24"/>
          <w:szCs w:val="24"/>
          <w:highlight w:val="none"/>
        </w:rPr>
        <w:t>万元</w:t>
      </w:r>
      <w:r>
        <w:rPr>
          <w:rFonts w:ascii="宋体" w:hAnsi="宋体" w:eastAsia="宋体" w:cs="宋体"/>
          <w:spacing w:val="-2"/>
          <w:sz w:val="24"/>
          <w:szCs w:val="24"/>
          <w:highlight w:val="none"/>
        </w:rPr>
        <w:t>的折扣报价相同的，按照单位</w:t>
      </w:r>
      <w:r>
        <w:rPr>
          <w:rFonts w:ascii="宋体" w:hAnsi="宋体" w:eastAsia="宋体" w:cs="宋体"/>
          <w:sz w:val="24"/>
          <w:szCs w:val="24"/>
          <w:highlight w:val="none"/>
        </w:rPr>
        <w:t xml:space="preserve"> 资质等级数量由高到低顺序排列。单位资质等级数量相同的，</w:t>
      </w:r>
      <w:r>
        <w:rPr>
          <w:rFonts w:ascii="宋体" w:hAnsi="宋体" w:eastAsia="宋体" w:cs="宋体"/>
          <w:spacing w:val="-1"/>
          <w:sz w:val="24"/>
          <w:szCs w:val="24"/>
          <w:highlight w:val="none"/>
        </w:rPr>
        <w:t>则由评标委员会随机抽取决</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定。</w:t>
      </w:r>
    </w:p>
    <w:p w14:paraId="121B4F9E">
      <w:pPr>
        <w:spacing w:before="65" w:line="220" w:lineRule="auto"/>
        <w:ind w:left="656"/>
        <w:outlineLvl w:val="1"/>
        <w:rPr>
          <w:rFonts w:ascii="宋体" w:hAnsi="宋体" w:eastAsia="宋体" w:cs="宋体"/>
          <w:sz w:val="24"/>
          <w:szCs w:val="24"/>
          <w:highlight w:val="none"/>
        </w:rPr>
      </w:pPr>
      <w:r>
        <w:rPr>
          <w:rFonts w:ascii="宋体" w:hAnsi="宋体" w:eastAsia="宋体" w:cs="宋体"/>
          <w:spacing w:val="-3"/>
          <w:sz w:val="24"/>
          <w:szCs w:val="24"/>
          <w:highlight w:val="none"/>
        </w:rPr>
        <w:t>二、评审标准</w:t>
      </w:r>
    </w:p>
    <w:p w14:paraId="6F28F509">
      <w:pPr>
        <w:spacing w:before="91" w:line="227" w:lineRule="auto"/>
        <w:ind w:left="173"/>
        <w:rPr>
          <w:rFonts w:ascii="宋体" w:hAnsi="宋体" w:eastAsia="宋体" w:cs="宋体"/>
          <w:sz w:val="28"/>
          <w:szCs w:val="28"/>
          <w:highlight w:val="none"/>
        </w:rPr>
      </w:pPr>
      <w:r>
        <w:rPr>
          <w:rFonts w:ascii="宋体" w:hAnsi="宋体" w:eastAsia="宋体" w:cs="宋体"/>
          <w:spacing w:val="14"/>
          <w:sz w:val="28"/>
          <w:szCs w:val="28"/>
          <w:highlight w:val="none"/>
        </w:rPr>
        <w:t>包</w:t>
      </w:r>
      <w:r>
        <w:rPr>
          <w:rFonts w:hint="eastAsia" w:ascii="宋体" w:hAnsi="宋体" w:eastAsia="宋体" w:cs="宋体"/>
          <w:spacing w:val="14"/>
          <w:sz w:val="28"/>
          <w:szCs w:val="28"/>
          <w:highlight w:val="none"/>
          <w:lang w:val="en-US" w:eastAsia="zh-CN"/>
        </w:rPr>
        <w:t>二</w:t>
      </w:r>
      <w:r>
        <w:rPr>
          <w:rFonts w:ascii="宋体" w:hAnsi="宋体" w:eastAsia="宋体" w:cs="宋体"/>
          <w:spacing w:val="14"/>
          <w:sz w:val="28"/>
          <w:szCs w:val="28"/>
          <w:highlight w:val="none"/>
        </w:rPr>
        <w:t>:</w:t>
      </w:r>
    </w:p>
    <w:p w14:paraId="5A41D32A">
      <w:pPr>
        <w:spacing w:before="7"/>
        <w:rPr>
          <w:highlight w:val="none"/>
        </w:rPr>
      </w:pPr>
    </w:p>
    <w:tbl>
      <w:tblPr>
        <w:tblStyle w:val="6"/>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758"/>
        <w:gridCol w:w="1323"/>
        <w:gridCol w:w="6086"/>
        <w:gridCol w:w="1019"/>
      </w:tblGrid>
      <w:tr w14:paraId="4B9E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04" w:type="dxa"/>
            <w:gridSpan w:val="2"/>
            <w:vAlign w:val="top"/>
          </w:tcPr>
          <w:p w14:paraId="6884E84A">
            <w:pPr>
              <w:pStyle w:val="7"/>
              <w:spacing w:before="109" w:line="229" w:lineRule="auto"/>
              <w:ind w:left="143"/>
              <w:rPr>
                <w:highlight w:val="none"/>
              </w:rPr>
            </w:pPr>
            <w:r>
              <w:rPr>
                <w:spacing w:val="5"/>
                <w:highlight w:val="none"/>
              </w:rPr>
              <w:t>序号</w:t>
            </w:r>
          </w:p>
        </w:tc>
        <w:tc>
          <w:tcPr>
            <w:tcW w:w="1323" w:type="dxa"/>
            <w:vAlign w:val="top"/>
          </w:tcPr>
          <w:p w14:paraId="2ED2B270">
            <w:pPr>
              <w:pStyle w:val="7"/>
              <w:spacing w:before="108" w:line="228" w:lineRule="auto"/>
              <w:ind w:left="143"/>
              <w:rPr>
                <w:highlight w:val="none"/>
              </w:rPr>
            </w:pPr>
            <w:r>
              <w:rPr>
                <w:spacing w:val="3"/>
                <w:highlight w:val="none"/>
              </w:rPr>
              <w:t>分值</w:t>
            </w:r>
          </w:p>
        </w:tc>
        <w:tc>
          <w:tcPr>
            <w:tcW w:w="6086" w:type="dxa"/>
            <w:vAlign w:val="top"/>
          </w:tcPr>
          <w:p w14:paraId="240927BD">
            <w:pPr>
              <w:pStyle w:val="7"/>
              <w:spacing w:before="109" w:line="228" w:lineRule="auto"/>
              <w:ind w:left="139"/>
              <w:rPr>
                <w:highlight w:val="none"/>
              </w:rPr>
            </w:pPr>
            <w:r>
              <w:rPr>
                <w:spacing w:val="7"/>
                <w:highlight w:val="none"/>
              </w:rPr>
              <w:t>评分标准</w:t>
            </w:r>
          </w:p>
        </w:tc>
        <w:tc>
          <w:tcPr>
            <w:tcW w:w="1019" w:type="dxa"/>
            <w:vAlign w:val="top"/>
          </w:tcPr>
          <w:p w14:paraId="765D92D0">
            <w:pPr>
              <w:pStyle w:val="7"/>
              <w:spacing w:before="108" w:line="228" w:lineRule="auto"/>
              <w:ind w:left="145"/>
              <w:rPr>
                <w:highlight w:val="none"/>
              </w:rPr>
            </w:pPr>
            <w:r>
              <w:rPr>
                <w:spacing w:val="3"/>
                <w:highlight w:val="none"/>
              </w:rPr>
              <w:t>说明</w:t>
            </w:r>
          </w:p>
        </w:tc>
      </w:tr>
      <w:tr w14:paraId="4216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446" w:type="dxa"/>
            <w:vMerge w:val="restart"/>
            <w:tcBorders>
              <w:bottom w:val="nil"/>
            </w:tcBorders>
            <w:vAlign w:val="top"/>
          </w:tcPr>
          <w:p w14:paraId="72704A6D">
            <w:pPr>
              <w:spacing w:line="275" w:lineRule="auto"/>
              <w:rPr>
                <w:rFonts w:ascii="Arial"/>
                <w:sz w:val="21"/>
                <w:highlight w:val="none"/>
              </w:rPr>
            </w:pPr>
          </w:p>
          <w:p w14:paraId="184B88AB">
            <w:pPr>
              <w:spacing w:line="275" w:lineRule="auto"/>
              <w:rPr>
                <w:rFonts w:ascii="Arial"/>
                <w:sz w:val="21"/>
                <w:highlight w:val="none"/>
              </w:rPr>
            </w:pPr>
          </w:p>
          <w:p w14:paraId="111693C1">
            <w:pPr>
              <w:spacing w:line="275" w:lineRule="auto"/>
              <w:rPr>
                <w:rFonts w:ascii="Arial"/>
                <w:sz w:val="21"/>
                <w:highlight w:val="none"/>
              </w:rPr>
            </w:pPr>
          </w:p>
          <w:p w14:paraId="440250DD">
            <w:pPr>
              <w:spacing w:line="275" w:lineRule="auto"/>
              <w:rPr>
                <w:rFonts w:ascii="Arial"/>
                <w:sz w:val="21"/>
                <w:highlight w:val="none"/>
              </w:rPr>
            </w:pPr>
          </w:p>
          <w:p w14:paraId="5467B37B">
            <w:pPr>
              <w:spacing w:line="275" w:lineRule="auto"/>
              <w:rPr>
                <w:rFonts w:ascii="Arial"/>
                <w:sz w:val="21"/>
                <w:highlight w:val="none"/>
              </w:rPr>
            </w:pPr>
          </w:p>
          <w:p w14:paraId="21273C58">
            <w:pPr>
              <w:pStyle w:val="7"/>
              <w:spacing w:before="65" w:line="189" w:lineRule="auto"/>
              <w:ind w:left="160"/>
              <w:rPr>
                <w:highlight w:val="none"/>
              </w:rPr>
            </w:pPr>
            <w:r>
              <w:rPr>
                <w:highlight w:val="none"/>
              </w:rPr>
              <w:t>1</w:t>
            </w:r>
          </w:p>
        </w:tc>
        <w:tc>
          <w:tcPr>
            <w:tcW w:w="758" w:type="dxa"/>
            <w:vMerge w:val="restart"/>
            <w:tcBorders>
              <w:bottom w:val="nil"/>
            </w:tcBorders>
            <w:vAlign w:val="top"/>
          </w:tcPr>
          <w:p w14:paraId="284E87F2">
            <w:pPr>
              <w:spacing w:line="261" w:lineRule="auto"/>
              <w:rPr>
                <w:rFonts w:ascii="Arial"/>
                <w:sz w:val="21"/>
                <w:highlight w:val="none"/>
              </w:rPr>
            </w:pPr>
          </w:p>
          <w:p w14:paraId="4AB598D1">
            <w:pPr>
              <w:spacing w:line="261" w:lineRule="auto"/>
              <w:rPr>
                <w:rFonts w:ascii="Arial"/>
                <w:sz w:val="21"/>
                <w:highlight w:val="none"/>
              </w:rPr>
            </w:pPr>
          </w:p>
          <w:p w14:paraId="1A0B0F4D">
            <w:pPr>
              <w:spacing w:line="261" w:lineRule="auto"/>
              <w:rPr>
                <w:rFonts w:ascii="Arial"/>
                <w:sz w:val="21"/>
                <w:highlight w:val="none"/>
              </w:rPr>
            </w:pPr>
          </w:p>
          <w:p w14:paraId="3C113F4C">
            <w:pPr>
              <w:spacing w:line="261" w:lineRule="auto"/>
              <w:rPr>
                <w:rFonts w:ascii="Arial"/>
                <w:sz w:val="21"/>
                <w:highlight w:val="none"/>
              </w:rPr>
            </w:pPr>
          </w:p>
          <w:p w14:paraId="0E96CAA0">
            <w:pPr>
              <w:pStyle w:val="7"/>
              <w:spacing w:before="65" w:line="274" w:lineRule="auto"/>
              <w:ind w:left="126" w:right="203" w:firstLine="14"/>
              <w:jc w:val="both"/>
              <w:rPr>
                <w:highlight w:val="none"/>
              </w:rPr>
            </w:pPr>
            <w:r>
              <w:rPr>
                <w:spacing w:val="3"/>
                <w:highlight w:val="none"/>
              </w:rPr>
              <w:t>经济</w:t>
            </w:r>
            <w:r>
              <w:rPr>
                <w:highlight w:val="none"/>
              </w:rPr>
              <w:t xml:space="preserve"> </w:t>
            </w:r>
            <w:r>
              <w:rPr>
                <w:spacing w:val="11"/>
                <w:highlight w:val="none"/>
              </w:rPr>
              <w:t>部分</w:t>
            </w:r>
            <w:r>
              <w:rPr>
                <w:highlight w:val="none"/>
              </w:rPr>
              <w:t xml:space="preserve"> </w:t>
            </w:r>
            <w:r>
              <w:rPr>
                <w:spacing w:val="-1"/>
                <w:highlight w:val="none"/>
              </w:rPr>
              <w:t>100%</w:t>
            </w:r>
          </w:p>
        </w:tc>
        <w:tc>
          <w:tcPr>
            <w:tcW w:w="1323" w:type="dxa"/>
            <w:vAlign w:val="top"/>
          </w:tcPr>
          <w:p w14:paraId="30A1222B">
            <w:pPr>
              <w:pStyle w:val="7"/>
              <w:spacing w:before="62" w:line="228" w:lineRule="auto"/>
              <w:ind w:left="142"/>
              <w:rPr>
                <w:highlight w:val="none"/>
              </w:rPr>
            </w:pPr>
            <w:r>
              <w:rPr>
                <w:spacing w:val="7"/>
                <w:highlight w:val="none"/>
              </w:rPr>
              <w:t>单个项目总</w:t>
            </w:r>
          </w:p>
          <w:p w14:paraId="2FB80A34">
            <w:pPr>
              <w:pStyle w:val="7"/>
              <w:spacing w:before="53" w:line="226" w:lineRule="auto"/>
              <w:ind w:left="126"/>
              <w:rPr>
                <w:highlight w:val="none"/>
              </w:rPr>
            </w:pPr>
            <w:r>
              <w:rPr>
                <w:spacing w:val="2"/>
                <w:highlight w:val="none"/>
              </w:rPr>
              <w:t>限价在</w:t>
            </w:r>
          </w:p>
          <w:p w14:paraId="44F297E2">
            <w:pPr>
              <w:pStyle w:val="7"/>
              <w:spacing w:before="53" w:line="256" w:lineRule="auto"/>
              <w:ind w:left="110" w:right="20" w:firstLine="3"/>
              <w:rPr>
                <w:highlight w:val="none"/>
              </w:rPr>
            </w:pPr>
            <w:r>
              <w:rPr>
                <w:spacing w:val="3"/>
                <w:highlight w:val="none"/>
              </w:rPr>
              <w:t>0-1.5（含）</w:t>
            </w:r>
            <w:r>
              <w:rPr>
                <w:spacing w:val="1"/>
                <w:highlight w:val="none"/>
              </w:rPr>
              <w:t xml:space="preserve"> </w:t>
            </w:r>
            <w:r>
              <w:rPr>
                <w:spacing w:val="8"/>
                <w:highlight w:val="none"/>
              </w:rPr>
              <w:t>万元的折扣</w:t>
            </w:r>
            <w:r>
              <w:rPr>
                <w:highlight w:val="none"/>
              </w:rPr>
              <w:t xml:space="preserve">  </w:t>
            </w:r>
            <w:r>
              <w:rPr>
                <w:spacing w:val="-11"/>
                <w:highlight w:val="none"/>
              </w:rPr>
              <w:t>报价（70</w:t>
            </w:r>
            <w:r>
              <w:rPr>
                <w:spacing w:val="-37"/>
                <w:highlight w:val="none"/>
              </w:rPr>
              <w:t xml:space="preserve"> </w:t>
            </w:r>
            <w:r>
              <w:rPr>
                <w:spacing w:val="-11"/>
                <w:highlight w:val="none"/>
              </w:rPr>
              <w:t>分）</w:t>
            </w:r>
          </w:p>
        </w:tc>
        <w:tc>
          <w:tcPr>
            <w:tcW w:w="6086" w:type="dxa"/>
            <w:vAlign w:val="top"/>
          </w:tcPr>
          <w:p w14:paraId="1CA09727">
            <w:pPr>
              <w:pStyle w:val="7"/>
              <w:spacing w:before="61" w:line="267" w:lineRule="auto"/>
              <w:ind w:left="116" w:right="121" w:firstLine="23"/>
              <w:rPr>
                <w:highlight w:val="none"/>
              </w:rPr>
            </w:pPr>
            <w:r>
              <w:rPr>
                <w:spacing w:val="8"/>
                <w:highlight w:val="none"/>
              </w:rPr>
              <w:t>满足资格性、符合性要求且单个项目总限价在</w:t>
            </w:r>
            <w:r>
              <w:rPr>
                <w:spacing w:val="-22"/>
                <w:highlight w:val="none"/>
              </w:rPr>
              <w:t xml:space="preserve"> </w:t>
            </w:r>
            <w:r>
              <w:rPr>
                <w:spacing w:val="8"/>
                <w:highlight w:val="none"/>
              </w:rPr>
              <w:t>0-1.5（含）万元</w:t>
            </w:r>
            <w:r>
              <w:rPr>
                <w:highlight w:val="none"/>
              </w:rPr>
              <w:t xml:space="preserve"> </w:t>
            </w:r>
            <w:r>
              <w:rPr>
                <w:spacing w:val="9"/>
                <w:highlight w:val="none"/>
              </w:rPr>
              <w:t>的折扣报价最低的供应商的价格为评标基准价，其价格分为满</w:t>
            </w:r>
            <w:r>
              <w:rPr>
                <w:spacing w:val="3"/>
                <w:highlight w:val="none"/>
              </w:rPr>
              <w:t xml:space="preserve">   </w:t>
            </w:r>
            <w:r>
              <w:rPr>
                <w:spacing w:val="9"/>
                <w:highlight w:val="none"/>
              </w:rPr>
              <w:t>分。其他供应商的价格分统一按照下列公式计算：</w:t>
            </w:r>
          </w:p>
          <w:p w14:paraId="6417084C">
            <w:pPr>
              <w:pStyle w:val="7"/>
              <w:spacing w:before="33" w:line="245" w:lineRule="auto"/>
              <w:ind w:left="114" w:right="105" w:firstLine="27"/>
              <w:rPr>
                <w:highlight w:val="none"/>
              </w:rPr>
            </w:pPr>
            <w:r>
              <w:rPr>
                <w:spacing w:val="5"/>
                <w:highlight w:val="none"/>
              </w:rPr>
              <w:t>单个项目总限价在</w:t>
            </w:r>
            <w:r>
              <w:rPr>
                <w:spacing w:val="-22"/>
                <w:highlight w:val="none"/>
              </w:rPr>
              <w:t xml:space="preserve"> </w:t>
            </w:r>
            <w:r>
              <w:rPr>
                <w:spacing w:val="5"/>
                <w:highlight w:val="none"/>
              </w:rPr>
              <w:t>0-1.5（含）万元的折扣报价得分=（评标基准</w:t>
            </w:r>
            <w:r>
              <w:rPr>
                <w:highlight w:val="none"/>
              </w:rPr>
              <w:t xml:space="preserve"> </w:t>
            </w:r>
            <w:r>
              <w:rPr>
                <w:spacing w:val="2"/>
                <w:highlight w:val="none"/>
              </w:rPr>
              <w:t>价/响应报价）</w:t>
            </w:r>
            <w:r>
              <w:rPr>
                <w:spacing w:val="-48"/>
                <w:highlight w:val="none"/>
              </w:rPr>
              <w:t xml:space="preserve"> </w:t>
            </w:r>
            <w:r>
              <w:rPr>
                <w:spacing w:val="2"/>
                <w:highlight w:val="none"/>
              </w:rPr>
              <w:t>×70。</w:t>
            </w:r>
          </w:p>
        </w:tc>
        <w:tc>
          <w:tcPr>
            <w:tcW w:w="1019" w:type="dxa"/>
            <w:vAlign w:val="top"/>
          </w:tcPr>
          <w:p w14:paraId="2475EBA1">
            <w:pPr>
              <w:rPr>
                <w:rFonts w:ascii="Arial"/>
                <w:sz w:val="21"/>
                <w:highlight w:val="none"/>
              </w:rPr>
            </w:pPr>
          </w:p>
        </w:tc>
      </w:tr>
      <w:tr w14:paraId="2E92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446" w:type="dxa"/>
            <w:vMerge w:val="continue"/>
            <w:tcBorders>
              <w:top w:val="nil"/>
            </w:tcBorders>
            <w:vAlign w:val="top"/>
          </w:tcPr>
          <w:p w14:paraId="4C94C00B">
            <w:pPr>
              <w:rPr>
                <w:rFonts w:ascii="Arial"/>
                <w:sz w:val="21"/>
                <w:highlight w:val="none"/>
              </w:rPr>
            </w:pPr>
          </w:p>
        </w:tc>
        <w:tc>
          <w:tcPr>
            <w:tcW w:w="758" w:type="dxa"/>
            <w:vMerge w:val="continue"/>
            <w:tcBorders>
              <w:top w:val="nil"/>
            </w:tcBorders>
            <w:vAlign w:val="top"/>
          </w:tcPr>
          <w:p w14:paraId="1532048B">
            <w:pPr>
              <w:rPr>
                <w:rFonts w:ascii="Arial"/>
                <w:sz w:val="21"/>
                <w:highlight w:val="none"/>
              </w:rPr>
            </w:pPr>
          </w:p>
        </w:tc>
        <w:tc>
          <w:tcPr>
            <w:tcW w:w="1323" w:type="dxa"/>
            <w:vAlign w:val="top"/>
          </w:tcPr>
          <w:p w14:paraId="372218EB">
            <w:pPr>
              <w:pStyle w:val="7"/>
              <w:spacing w:before="61" w:line="265" w:lineRule="auto"/>
              <w:ind w:left="110" w:right="20" w:firstLine="32"/>
              <w:jc w:val="both"/>
              <w:rPr>
                <w:highlight w:val="none"/>
              </w:rPr>
            </w:pPr>
            <w:r>
              <w:rPr>
                <w:spacing w:val="7"/>
                <w:highlight w:val="none"/>
              </w:rPr>
              <w:t>单个项目总</w:t>
            </w:r>
            <w:r>
              <w:rPr>
                <w:spacing w:val="1"/>
                <w:highlight w:val="none"/>
              </w:rPr>
              <w:t xml:space="preserve">  </w:t>
            </w:r>
            <w:r>
              <w:rPr>
                <w:spacing w:val="2"/>
                <w:highlight w:val="none"/>
              </w:rPr>
              <w:t>限价在</w:t>
            </w:r>
            <w:r>
              <w:rPr>
                <w:spacing w:val="-23"/>
                <w:highlight w:val="none"/>
              </w:rPr>
              <w:t xml:space="preserve"> </w:t>
            </w:r>
            <w:r>
              <w:rPr>
                <w:spacing w:val="2"/>
                <w:highlight w:val="none"/>
              </w:rPr>
              <w:t>1.5</w:t>
            </w:r>
            <w:r>
              <w:rPr>
                <w:highlight w:val="none"/>
              </w:rPr>
              <w:t xml:space="preserve">   </w:t>
            </w:r>
            <w:r>
              <w:rPr>
                <w:spacing w:val="7"/>
                <w:highlight w:val="none"/>
              </w:rPr>
              <w:t>（不含）-3</w:t>
            </w:r>
            <w:r>
              <w:rPr>
                <w:highlight w:val="none"/>
              </w:rPr>
              <w:t xml:space="preserve">  </w:t>
            </w:r>
            <w:r>
              <w:rPr>
                <w:spacing w:val="8"/>
                <w:highlight w:val="none"/>
              </w:rPr>
              <w:t>万元的折扣</w:t>
            </w:r>
            <w:r>
              <w:rPr>
                <w:highlight w:val="none"/>
              </w:rPr>
              <w:t xml:space="preserve">  </w:t>
            </w:r>
            <w:r>
              <w:rPr>
                <w:spacing w:val="-11"/>
                <w:highlight w:val="none"/>
              </w:rPr>
              <w:t>报价（30</w:t>
            </w:r>
            <w:r>
              <w:rPr>
                <w:spacing w:val="-37"/>
                <w:highlight w:val="none"/>
              </w:rPr>
              <w:t xml:space="preserve"> </w:t>
            </w:r>
            <w:r>
              <w:rPr>
                <w:spacing w:val="-11"/>
                <w:highlight w:val="none"/>
              </w:rPr>
              <w:t>分）</w:t>
            </w:r>
          </w:p>
        </w:tc>
        <w:tc>
          <w:tcPr>
            <w:tcW w:w="6086" w:type="dxa"/>
            <w:vAlign w:val="top"/>
          </w:tcPr>
          <w:p w14:paraId="442C5148">
            <w:pPr>
              <w:pStyle w:val="7"/>
              <w:spacing w:before="62" w:line="267" w:lineRule="auto"/>
              <w:ind w:left="115" w:right="105" w:firstLine="24"/>
              <w:jc w:val="both"/>
              <w:rPr>
                <w:highlight w:val="none"/>
              </w:rPr>
            </w:pPr>
            <w:r>
              <w:rPr>
                <w:spacing w:val="6"/>
                <w:highlight w:val="none"/>
              </w:rPr>
              <w:t>满足资格性、符合性要求且单个项目总限价在</w:t>
            </w:r>
            <w:r>
              <w:rPr>
                <w:spacing w:val="-10"/>
                <w:highlight w:val="none"/>
              </w:rPr>
              <w:t xml:space="preserve"> </w:t>
            </w:r>
            <w:r>
              <w:rPr>
                <w:spacing w:val="6"/>
                <w:highlight w:val="none"/>
              </w:rPr>
              <w:t>1.5（不含）-3</w:t>
            </w:r>
            <w:r>
              <w:rPr>
                <w:spacing w:val="-35"/>
                <w:highlight w:val="none"/>
              </w:rPr>
              <w:t xml:space="preserve"> </w:t>
            </w:r>
            <w:r>
              <w:rPr>
                <w:spacing w:val="6"/>
                <w:highlight w:val="none"/>
              </w:rPr>
              <w:t>万</w:t>
            </w:r>
            <w:r>
              <w:rPr>
                <w:highlight w:val="none"/>
              </w:rPr>
              <w:t xml:space="preserve"> </w:t>
            </w:r>
            <w:r>
              <w:rPr>
                <w:spacing w:val="9"/>
                <w:highlight w:val="none"/>
              </w:rPr>
              <w:t>元的折扣报价最低的供应商的折扣为评标基准价，其价格分为满</w:t>
            </w:r>
            <w:r>
              <w:rPr>
                <w:spacing w:val="7"/>
                <w:highlight w:val="none"/>
              </w:rPr>
              <w:t xml:space="preserve"> </w:t>
            </w:r>
            <w:r>
              <w:rPr>
                <w:spacing w:val="9"/>
                <w:highlight w:val="none"/>
              </w:rPr>
              <w:t>分。其他供应商的价格分统一按照下列公式计算：</w:t>
            </w:r>
          </w:p>
          <w:p w14:paraId="338D1F1A">
            <w:pPr>
              <w:pStyle w:val="7"/>
              <w:spacing w:before="33" w:line="246" w:lineRule="auto"/>
              <w:ind w:left="113" w:right="174" w:firstLine="28"/>
              <w:rPr>
                <w:highlight w:val="none"/>
              </w:rPr>
            </w:pPr>
            <w:r>
              <w:rPr>
                <w:spacing w:val="7"/>
                <w:highlight w:val="none"/>
              </w:rPr>
              <w:t>单个项目总限价在</w:t>
            </w:r>
            <w:r>
              <w:rPr>
                <w:spacing w:val="-14"/>
                <w:highlight w:val="none"/>
              </w:rPr>
              <w:t xml:space="preserve"> </w:t>
            </w:r>
            <w:r>
              <w:rPr>
                <w:spacing w:val="7"/>
                <w:highlight w:val="none"/>
              </w:rPr>
              <w:t>1.5（不含）-3</w:t>
            </w:r>
            <w:r>
              <w:rPr>
                <w:spacing w:val="-33"/>
                <w:highlight w:val="none"/>
              </w:rPr>
              <w:t xml:space="preserve"> </w:t>
            </w:r>
            <w:r>
              <w:rPr>
                <w:spacing w:val="7"/>
                <w:highlight w:val="none"/>
              </w:rPr>
              <w:t>万元的折扣报价得分=（评标</w:t>
            </w:r>
            <w:r>
              <w:rPr>
                <w:highlight w:val="none"/>
              </w:rPr>
              <w:t xml:space="preserve"> </w:t>
            </w:r>
            <w:r>
              <w:rPr>
                <w:spacing w:val="3"/>
                <w:highlight w:val="none"/>
              </w:rPr>
              <w:t>基准价/响应报价）</w:t>
            </w:r>
            <w:r>
              <w:rPr>
                <w:spacing w:val="-44"/>
                <w:highlight w:val="none"/>
              </w:rPr>
              <w:t xml:space="preserve"> </w:t>
            </w:r>
            <w:r>
              <w:rPr>
                <w:spacing w:val="3"/>
                <w:highlight w:val="none"/>
              </w:rPr>
              <w:t>×30。</w:t>
            </w:r>
          </w:p>
        </w:tc>
        <w:tc>
          <w:tcPr>
            <w:tcW w:w="1019" w:type="dxa"/>
            <w:vAlign w:val="top"/>
          </w:tcPr>
          <w:p w14:paraId="686A00C8">
            <w:pPr>
              <w:rPr>
                <w:rFonts w:ascii="Arial"/>
                <w:sz w:val="21"/>
                <w:highlight w:val="none"/>
              </w:rPr>
            </w:pPr>
          </w:p>
        </w:tc>
      </w:tr>
    </w:tbl>
    <w:p w14:paraId="5B153CE5">
      <w:pPr>
        <w:pStyle w:val="2"/>
        <w:spacing w:line="311" w:lineRule="auto"/>
        <w:rPr>
          <w:highlight w:val="none"/>
        </w:rPr>
      </w:pPr>
    </w:p>
    <w:p w14:paraId="2B74F356">
      <w:pPr>
        <w:spacing w:before="37" w:line="234" w:lineRule="auto"/>
        <w:ind w:left="173" w:right="90" w:firstLine="503"/>
        <w:jc w:val="both"/>
        <w:rPr>
          <w:rFonts w:ascii="宋体" w:hAnsi="宋体" w:eastAsia="宋体" w:cs="宋体"/>
          <w:sz w:val="24"/>
          <w:szCs w:val="24"/>
          <w:highlight w:val="none"/>
        </w:rPr>
      </w:pPr>
      <w:r>
        <w:rPr>
          <w:rFonts w:ascii="宋体" w:hAnsi="宋体" w:eastAsia="宋体" w:cs="宋体"/>
          <w:b/>
          <w:bCs/>
          <w:sz w:val="24"/>
          <w:szCs w:val="24"/>
          <w:highlight w:val="none"/>
        </w:rPr>
        <w:t>说明</w:t>
      </w:r>
      <w:r>
        <w:rPr>
          <w:rFonts w:ascii="宋体" w:hAnsi="宋体" w:eastAsia="宋体" w:cs="宋体"/>
          <w:sz w:val="24"/>
          <w:szCs w:val="24"/>
          <w:highlight w:val="none"/>
        </w:rPr>
        <w:t>：评标委员会认为排名在前面的成交候选供</w:t>
      </w:r>
      <w:r>
        <w:rPr>
          <w:rFonts w:ascii="宋体" w:hAnsi="宋体" w:eastAsia="宋体" w:cs="宋体"/>
          <w:spacing w:val="-1"/>
          <w:sz w:val="24"/>
          <w:szCs w:val="24"/>
          <w:highlight w:val="none"/>
        </w:rPr>
        <w:t>应商的投标报价或者某些分项报价明</w:t>
      </w:r>
      <w:r>
        <w:rPr>
          <w:rFonts w:ascii="宋体" w:hAnsi="宋体" w:eastAsia="宋体" w:cs="宋体"/>
          <w:sz w:val="24"/>
          <w:szCs w:val="24"/>
          <w:highlight w:val="none"/>
        </w:rPr>
        <w:t xml:space="preserve"> 显不合理或者低于成本，有可能影响服务质量和不能诚信履约</w:t>
      </w:r>
      <w:r>
        <w:rPr>
          <w:rFonts w:ascii="宋体" w:hAnsi="宋体" w:eastAsia="宋体" w:cs="宋体"/>
          <w:spacing w:val="-1"/>
          <w:sz w:val="24"/>
          <w:szCs w:val="24"/>
          <w:highlight w:val="none"/>
        </w:rPr>
        <w:t>的，将要求其在规定的期限</w:t>
      </w:r>
      <w:r>
        <w:rPr>
          <w:rFonts w:ascii="宋体" w:hAnsi="宋体" w:eastAsia="宋体" w:cs="宋体"/>
          <w:sz w:val="24"/>
          <w:szCs w:val="24"/>
          <w:highlight w:val="none"/>
        </w:rPr>
        <w:t xml:space="preserve"> 内提供书面文件予以解释说明，并提交相关证明材料；否则，</w:t>
      </w:r>
      <w:r>
        <w:rPr>
          <w:rFonts w:ascii="宋体" w:hAnsi="宋体" w:eastAsia="宋体" w:cs="宋体"/>
          <w:spacing w:val="-1"/>
          <w:sz w:val="24"/>
          <w:szCs w:val="24"/>
          <w:highlight w:val="none"/>
        </w:rPr>
        <w:t>评标委员会可以取消该成交</w:t>
      </w:r>
      <w:r>
        <w:rPr>
          <w:rFonts w:ascii="宋体" w:hAnsi="宋体" w:eastAsia="宋体" w:cs="宋体"/>
          <w:sz w:val="24"/>
          <w:szCs w:val="24"/>
          <w:highlight w:val="none"/>
        </w:rPr>
        <w:t xml:space="preserve"> 候选供应商资格，按顺序由排在后一位的成交候</w:t>
      </w:r>
      <w:r>
        <w:rPr>
          <w:rFonts w:ascii="宋体" w:hAnsi="宋体" w:eastAsia="宋体" w:cs="宋体"/>
          <w:spacing w:val="-1"/>
          <w:sz w:val="24"/>
          <w:szCs w:val="24"/>
          <w:highlight w:val="none"/>
        </w:rPr>
        <w:t>选供应商递补，以此类推。</w:t>
      </w:r>
    </w:p>
    <w:p w14:paraId="6BF51D93">
      <w:pPr>
        <w:spacing w:before="15" w:line="233" w:lineRule="auto"/>
        <w:ind w:left="1" w:right="18" w:firstLine="500"/>
        <w:jc w:val="both"/>
        <w:rPr>
          <w:rFonts w:ascii="宋体" w:hAnsi="宋体" w:eastAsia="宋体" w:cs="宋体"/>
          <w:sz w:val="24"/>
          <w:szCs w:val="24"/>
          <w:highlight w:val="none"/>
        </w:rPr>
      </w:pPr>
      <w:r>
        <w:rPr>
          <w:rFonts w:ascii="宋体" w:hAnsi="宋体" w:eastAsia="宋体" w:cs="宋体"/>
          <w:spacing w:val="-4"/>
          <w:sz w:val="24"/>
          <w:szCs w:val="24"/>
          <w:highlight w:val="none"/>
        </w:rPr>
        <w:t>采购人有权在投标有效期内对供应商提供的资料进行核查，若发现资料存在</w:t>
      </w:r>
      <w:r>
        <w:rPr>
          <w:rFonts w:ascii="宋体" w:hAnsi="宋体" w:eastAsia="宋体" w:cs="宋体"/>
          <w:spacing w:val="-5"/>
          <w:sz w:val="24"/>
          <w:szCs w:val="24"/>
          <w:highlight w:val="none"/>
        </w:rPr>
        <w:t>虚假不实，</w:t>
      </w:r>
      <w:r>
        <w:rPr>
          <w:rFonts w:ascii="宋体" w:hAnsi="宋体" w:eastAsia="宋体" w:cs="宋体"/>
          <w:sz w:val="24"/>
          <w:szCs w:val="24"/>
          <w:highlight w:val="none"/>
        </w:rPr>
        <w:t xml:space="preserve"> 按照相关法律法规处理，其比选保证金不予退还，供应商承担因</w:t>
      </w:r>
      <w:r>
        <w:rPr>
          <w:rFonts w:ascii="宋体" w:hAnsi="宋体" w:eastAsia="宋体" w:cs="宋体"/>
          <w:spacing w:val="-1"/>
          <w:sz w:val="24"/>
          <w:szCs w:val="24"/>
          <w:highlight w:val="none"/>
        </w:rPr>
        <w:t>此造成的相关责任并赔偿</w:t>
      </w:r>
      <w:r>
        <w:rPr>
          <w:rFonts w:ascii="宋体" w:hAnsi="宋体" w:eastAsia="宋体" w:cs="宋体"/>
          <w:sz w:val="24"/>
          <w:szCs w:val="24"/>
          <w:highlight w:val="none"/>
        </w:rPr>
        <w:t xml:space="preserve">  </w:t>
      </w:r>
      <w:bookmarkStart w:id="44" w:name="bookmark26"/>
      <w:bookmarkEnd w:id="44"/>
      <w:r>
        <w:rPr>
          <w:rFonts w:ascii="宋体" w:hAnsi="宋体" w:eastAsia="宋体" w:cs="宋体"/>
          <w:spacing w:val="-2"/>
          <w:sz w:val="24"/>
          <w:szCs w:val="24"/>
          <w:highlight w:val="none"/>
        </w:rPr>
        <w:t>相应损失。</w:t>
      </w:r>
    </w:p>
    <w:p w14:paraId="3021844D">
      <w:pPr>
        <w:spacing w:before="104" w:line="220" w:lineRule="auto"/>
        <w:ind w:left="481"/>
        <w:outlineLvl w:val="1"/>
        <w:rPr>
          <w:rFonts w:ascii="宋体" w:hAnsi="宋体" w:eastAsia="宋体" w:cs="宋体"/>
          <w:sz w:val="24"/>
          <w:szCs w:val="24"/>
          <w:highlight w:val="none"/>
        </w:rPr>
      </w:pPr>
      <w:r>
        <w:rPr>
          <w:rFonts w:ascii="宋体" w:hAnsi="宋体" w:eastAsia="宋体" w:cs="宋体"/>
          <w:spacing w:val="-2"/>
          <w:sz w:val="24"/>
          <w:szCs w:val="24"/>
          <w:highlight w:val="none"/>
        </w:rPr>
        <w:t>三、无效响应</w:t>
      </w:r>
    </w:p>
    <w:p w14:paraId="3387A669">
      <w:pPr>
        <w:spacing w:before="111" w:line="219" w:lineRule="auto"/>
        <w:ind w:left="467"/>
        <w:rPr>
          <w:rFonts w:ascii="宋体" w:hAnsi="宋体" w:eastAsia="宋体" w:cs="宋体"/>
          <w:sz w:val="24"/>
          <w:szCs w:val="24"/>
          <w:highlight w:val="none"/>
        </w:rPr>
      </w:pPr>
      <w:r>
        <w:rPr>
          <w:rFonts w:ascii="宋体" w:hAnsi="宋体" w:eastAsia="宋体" w:cs="宋体"/>
          <w:sz w:val="24"/>
          <w:szCs w:val="24"/>
          <w:highlight w:val="none"/>
        </w:rPr>
        <w:t>供应商发生以下条款情况之一者，视为无效响应</w:t>
      </w:r>
      <w:r>
        <w:rPr>
          <w:rFonts w:ascii="宋体" w:hAnsi="宋体" w:eastAsia="宋体" w:cs="宋体"/>
          <w:spacing w:val="-1"/>
          <w:sz w:val="24"/>
          <w:szCs w:val="24"/>
          <w:highlight w:val="none"/>
        </w:rPr>
        <w:t>，其响应文件将被拒绝：</w:t>
      </w:r>
    </w:p>
    <w:p w14:paraId="6DC51483">
      <w:pPr>
        <w:spacing w:before="116"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（一）供应商不符合规定的基本资格条件或特定资格条件的；</w:t>
      </w:r>
    </w:p>
    <w:p w14:paraId="04A7F476">
      <w:pPr>
        <w:spacing w:before="116"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（二）供应商的法定代表人或其授权代表未参加投标；</w:t>
      </w:r>
    </w:p>
    <w:p w14:paraId="0797BB05">
      <w:pPr>
        <w:spacing w:before="114"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（三）供应商所提交的响应文件不按第七篇“</w:t>
      </w:r>
      <w:r>
        <w:rPr>
          <w:rFonts w:ascii="宋体" w:hAnsi="宋体" w:eastAsia="宋体" w:cs="宋体"/>
          <w:spacing w:val="-2"/>
          <w:sz w:val="24"/>
          <w:szCs w:val="24"/>
          <w:highlight w:val="none"/>
        </w:rPr>
        <w:t>响应文件编制要求</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”规定签字、盖章；</w:t>
      </w:r>
    </w:p>
    <w:p w14:paraId="18FB2136">
      <w:pPr>
        <w:spacing w:before="116" w:line="218"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（四）供应商的报价超过采购预算或最高限价的；</w:t>
      </w:r>
    </w:p>
    <w:p w14:paraId="31CF4717">
      <w:pPr>
        <w:spacing w:before="117" w:line="263" w:lineRule="auto"/>
        <w:ind w:left="9" w:right="147" w:firstLine="469"/>
        <w:rPr>
          <w:rFonts w:ascii="宋体" w:hAnsi="宋体" w:eastAsia="宋体" w:cs="宋体"/>
          <w:sz w:val="24"/>
          <w:szCs w:val="24"/>
          <w:highlight w:val="none"/>
        </w:rPr>
      </w:pPr>
      <w:r>
        <w:rPr>
          <w:rFonts w:ascii="宋体" w:hAnsi="宋体" w:eastAsia="宋体" w:cs="宋体"/>
          <w:spacing w:val="-1"/>
          <w:sz w:val="24"/>
          <w:szCs w:val="24"/>
          <w:highlight w:val="none"/>
        </w:rPr>
        <w:t>（五）法定代表人为同一个人的两个及两个以上法人，母公司、全资子公司及其控股</w:t>
      </w:r>
      <w:r>
        <w:rPr>
          <w:rFonts w:ascii="宋体" w:hAnsi="宋体" w:eastAsia="宋体" w:cs="宋体"/>
          <w:spacing w:val="15"/>
          <w:sz w:val="24"/>
          <w:szCs w:val="24"/>
          <w:highlight w:val="none"/>
        </w:rPr>
        <w:t xml:space="preserve"> </w:t>
      </w:r>
      <w:r>
        <w:rPr>
          <w:rFonts w:ascii="宋体" w:hAnsi="宋体" w:eastAsia="宋体" w:cs="宋体"/>
          <w:spacing w:val="-1"/>
          <w:sz w:val="24"/>
          <w:szCs w:val="24"/>
          <w:highlight w:val="none"/>
        </w:rPr>
        <w:t>公司，在同一分包采购中同时参与投标；</w:t>
      </w:r>
    </w:p>
    <w:p w14:paraId="09E3E7BA">
      <w:pPr>
        <w:spacing w:before="117" w:line="264" w:lineRule="auto"/>
        <w:ind w:right="147" w:firstLine="479"/>
        <w:rPr>
          <w:rFonts w:ascii="宋体" w:hAnsi="宋体" w:eastAsia="宋体" w:cs="宋体"/>
          <w:sz w:val="24"/>
          <w:szCs w:val="24"/>
          <w:highlight w:val="none"/>
        </w:rPr>
      </w:pPr>
      <w:r>
        <w:rPr>
          <w:rFonts w:ascii="宋体" w:hAnsi="宋体" w:eastAsia="宋体" w:cs="宋体"/>
          <w:spacing w:val="-1"/>
          <w:sz w:val="24"/>
          <w:szCs w:val="24"/>
          <w:highlight w:val="none"/>
        </w:rPr>
        <w:t>（六）单位负责人为同一人或者存在直接控股、管理关系的不同供应商，参加本次采</w:t>
      </w:r>
      <w:r>
        <w:rPr>
          <w:rFonts w:ascii="宋体" w:hAnsi="宋体" w:eastAsia="宋体" w:cs="宋体"/>
          <w:spacing w:val="15"/>
          <w:sz w:val="24"/>
          <w:szCs w:val="24"/>
          <w:highlight w:val="none"/>
        </w:rPr>
        <w:t xml:space="preserve"> </w:t>
      </w:r>
      <w:r>
        <w:rPr>
          <w:rFonts w:ascii="宋体" w:hAnsi="宋体" w:eastAsia="宋体" w:cs="宋体"/>
          <w:spacing w:val="-2"/>
          <w:sz w:val="24"/>
          <w:szCs w:val="24"/>
          <w:highlight w:val="none"/>
        </w:rPr>
        <w:t>购活动的；</w:t>
      </w:r>
    </w:p>
    <w:p w14:paraId="757A5A68">
      <w:pPr>
        <w:spacing w:before="113" w:line="263" w:lineRule="auto"/>
        <w:ind w:left="6" w:right="147" w:firstLine="472"/>
        <w:rPr>
          <w:rFonts w:ascii="宋体" w:hAnsi="宋体" w:eastAsia="宋体" w:cs="宋体"/>
          <w:sz w:val="24"/>
          <w:szCs w:val="24"/>
          <w:highlight w:val="none"/>
        </w:rPr>
      </w:pPr>
      <w:r>
        <w:rPr>
          <w:rFonts w:ascii="宋体" w:hAnsi="宋体" w:eastAsia="宋体" w:cs="宋体"/>
          <w:spacing w:val="-1"/>
          <w:sz w:val="24"/>
          <w:szCs w:val="24"/>
          <w:highlight w:val="none"/>
        </w:rPr>
        <w:t>（七）为采购项目提供整体设计、规范编制或者项目管理、监理、检测等服务的供应</w:t>
      </w:r>
      <w:r>
        <w:rPr>
          <w:rFonts w:ascii="宋体" w:hAnsi="宋体" w:eastAsia="宋体" w:cs="宋体"/>
          <w:spacing w:val="15"/>
          <w:sz w:val="24"/>
          <w:szCs w:val="24"/>
          <w:highlight w:val="none"/>
        </w:rPr>
        <w:t xml:space="preserve"> </w:t>
      </w:r>
      <w:r>
        <w:rPr>
          <w:rFonts w:ascii="宋体" w:hAnsi="宋体" w:eastAsia="宋体" w:cs="宋体"/>
          <w:spacing w:val="-1"/>
          <w:sz w:val="24"/>
          <w:szCs w:val="24"/>
          <w:highlight w:val="none"/>
        </w:rPr>
        <w:t>商，再参加该采购项目的其他采购活动；</w:t>
      </w:r>
    </w:p>
    <w:p w14:paraId="6DE73472">
      <w:pPr>
        <w:spacing w:before="116" w:line="219"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（八）供应商投标有效期不满足竞争性比选文件要求的；</w:t>
      </w:r>
    </w:p>
    <w:p w14:paraId="7A2F47E0">
      <w:pPr>
        <w:spacing w:before="114" w:line="264" w:lineRule="auto"/>
        <w:ind w:right="133" w:firstLine="492"/>
        <w:rPr>
          <w:rFonts w:ascii="宋体" w:hAnsi="宋体" w:eastAsia="宋体" w:cs="宋体"/>
          <w:sz w:val="24"/>
          <w:szCs w:val="24"/>
          <w:highlight w:val="none"/>
        </w:rPr>
      </w:pPr>
      <w:r>
        <w:rPr>
          <w:rFonts w:ascii="宋体" w:hAnsi="宋体" w:eastAsia="宋体" w:cs="宋体"/>
          <w:spacing w:val="-1"/>
          <w:sz w:val="24"/>
          <w:szCs w:val="24"/>
          <w:highlight w:val="none"/>
        </w:rPr>
        <w:t>（九）供应商响应文件内容有与国家现行法律法规相违背的内容，或附有采购人无法</w:t>
      </w:r>
      <w:r>
        <w:rPr>
          <w:rFonts w:ascii="宋体" w:hAnsi="宋体" w:eastAsia="宋体" w:cs="宋体"/>
          <w:spacing w:val="15"/>
          <w:sz w:val="24"/>
          <w:szCs w:val="24"/>
          <w:highlight w:val="none"/>
        </w:rPr>
        <w:t xml:space="preserve"> </w:t>
      </w:r>
      <w:r>
        <w:rPr>
          <w:rFonts w:ascii="宋体" w:hAnsi="宋体" w:eastAsia="宋体" w:cs="宋体"/>
          <w:spacing w:val="-2"/>
          <w:sz w:val="24"/>
          <w:szCs w:val="24"/>
          <w:highlight w:val="none"/>
        </w:rPr>
        <w:t>接受的条件。</w:t>
      </w:r>
    </w:p>
    <w:p w14:paraId="31FA7930">
      <w:pPr>
        <w:spacing w:before="115" w:line="219"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（十）供应商以联合体形式参与投标的；</w:t>
      </w:r>
    </w:p>
    <w:p w14:paraId="48D3801E">
      <w:pPr>
        <w:spacing w:before="115" w:line="295" w:lineRule="auto"/>
        <w:ind w:left="1" w:right="147" w:firstLine="477"/>
        <w:rPr>
          <w:rFonts w:ascii="宋体" w:hAnsi="宋体" w:eastAsia="宋体" w:cs="宋体"/>
          <w:sz w:val="24"/>
          <w:szCs w:val="24"/>
          <w:highlight w:val="none"/>
        </w:rPr>
      </w:pPr>
      <w:r>
        <w:rPr>
          <w:rFonts w:ascii="宋体" w:hAnsi="宋体" w:eastAsia="宋体" w:cs="宋体"/>
          <w:spacing w:val="-1"/>
          <w:sz w:val="24"/>
          <w:szCs w:val="24"/>
          <w:highlight w:val="none"/>
        </w:rPr>
        <w:t>（十一）供应商被列入失信被执行人、重大税收违法案件当事人名单、政府采购严重</w:t>
      </w:r>
      <w:r>
        <w:rPr>
          <w:rFonts w:ascii="宋体" w:hAnsi="宋体" w:eastAsia="宋体" w:cs="宋体"/>
          <w:spacing w:val="15"/>
          <w:sz w:val="24"/>
          <w:szCs w:val="24"/>
          <w:highlight w:val="none"/>
        </w:rPr>
        <w:t xml:space="preserve"> </w:t>
      </w:r>
      <w:bookmarkStart w:id="45" w:name="bookmark28"/>
      <w:bookmarkEnd w:id="45"/>
      <w:r>
        <w:rPr>
          <w:rFonts w:ascii="宋体" w:hAnsi="宋体" w:eastAsia="宋体" w:cs="宋体"/>
          <w:spacing w:val="-1"/>
          <w:sz w:val="24"/>
          <w:szCs w:val="24"/>
          <w:highlight w:val="none"/>
        </w:rPr>
        <w:t>违法失信行为记录名单。</w:t>
      </w:r>
    </w:p>
    <w:p w14:paraId="73F8EC0C">
      <w:pPr>
        <w:spacing w:before="34" w:line="219" w:lineRule="auto"/>
        <w:ind w:left="504"/>
        <w:outlineLvl w:val="1"/>
        <w:rPr>
          <w:rFonts w:ascii="宋体" w:hAnsi="宋体" w:eastAsia="宋体" w:cs="宋体"/>
          <w:sz w:val="24"/>
          <w:szCs w:val="24"/>
          <w:highlight w:val="none"/>
        </w:rPr>
      </w:pPr>
      <w:r>
        <w:rPr>
          <w:rFonts w:ascii="宋体" w:hAnsi="宋体" w:eastAsia="宋体" w:cs="宋体"/>
          <w:spacing w:val="-6"/>
          <w:sz w:val="24"/>
          <w:szCs w:val="24"/>
          <w:highlight w:val="none"/>
        </w:rPr>
        <w:t>四、采购终止</w:t>
      </w:r>
    </w:p>
    <w:p w14:paraId="76FF1E60">
      <w:pPr>
        <w:spacing w:before="115" w:line="294" w:lineRule="auto"/>
        <w:ind w:left="5" w:right="147" w:firstLine="482"/>
        <w:rPr>
          <w:rFonts w:ascii="宋体" w:hAnsi="宋体" w:eastAsia="宋体" w:cs="宋体"/>
          <w:sz w:val="24"/>
          <w:szCs w:val="24"/>
          <w:highlight w:val="none"/>
        </w:rPr>
      </w:pPr>
      <w:r>
        <w:rPr>
          <w:rFonts w:ascii="宋体" w:hAnsi="宋体" w:eastAsia="宋体" w:cs="宋体"/>
          <w:spacing w:val="-1"/>
          <w:sz w:val="24"/>
          <w:szCs w:val="24"/>
          <w:highlight w:val="none"/>
        </w:rPr>
        <w:t>出现下列情形之一的，采购人或者采购代理机构应当终止竞争性比选采购活动，发布</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项目终止公告并说明原因，重新开展采购活动：</w:t>
      </w:r>
    </w:p>
    <w:p w14:paraId="796F2AD9">
      <w:pPr>
        <w:spacing w:before="35"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（一）因情况变化，不再符合规定的竞争性比选采购方式适用情形的；</w:t>
      </w:r>
    </w:p>
    <w:p w14:paraId="155ECDEF">
      <w:pPr>
        <w:spacing w:before="114"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（二）出现影响采购公正的违法、违规行为的；</w:t>
      </w:r>
    </w:p>
    <w:p w14:paraId="2D61016A">
      <w:pPr>
        <w:spacing w:before="117" w:line="233" w:lineRule="auto"/>
        <w:ind w:left="482" w:hanging="3"/>
        <w:rPr>
          <w:rFonts w:ascii="宋体" w:hAnsi="宋体" w:eastAsia="宋体" w:cs="宋体"/>
          <w:sz w:val="24"/>
          <w:szCs w:val="24"/>
          <w:highlight w:val="none"/>
        </w:rPr>
      </w:pPr>
      <w:r>
        <w:rPr>
          <w:rFonts w:ascii="宋体" w:hAnsi="宋体" w:eastAsia="宋体" w:cs="宋体"/>
          <w:spacing w:val="-4"/>
          <w:sz w:val="24"/>
          <w:szCs w:val="24"/>
          <w:highlight w:val="none"/>
        </w:rPr>
        <w:t>（三）在采购过程中符合要求的供应商或者报价未超过采购预算的供应商不足</w:t>
      </w:r>
      <w:r>
        <w:rPr>
          <w:rFonts w:ascii="宋体" w:hAnsi="宋体" w:eastAsia="宋体" w:cs="宋体"/>
          <w:spacing w:val="-34"/>
          <w:sz w:val="24"/>
          <w:szCs w:val="24"/>
          <w:highlight w:val="none"/>
        </w:rPr>
        <w:t xml:space="preserve"> </w:t>
      </w:r>
      <w:r>
        <w:rPr>
          <w:rFonts w:ascii="宋体" w:hAnsi="宋体" w:eastAsia="宋体" w:cs="宋体"/>
          <w:spacing w:val="-4"/>
          <w:sz w:val="24"/>
          <w:szCs w:val="24"/>
          <w:highlight w:val="none"/>
        </w:rPr>
        <w:t>3</w:t>
      </w:r>
      <w:r>
        <w:rPr>
          <w:rFonts w:ascii="宋体" w:hAnsi="宋体" w:eastAsia="宋体" w:cs="宋体"/>
          <w:spacing w:val="-49"/>
          <w:sz w:val="24"/>
          <w:szCs w:val="24"/>
          <w:highlight w:val="none"/>
        </w:rPr>
        <w:t xml:space="preserve"> </w:t>
      </w:r>
      <w:r>
        <w:rPr>
          <w:rFonts w:ascii="宋体" w:hAnsi="宋体" w:eastAsia="宋体" w:cs="宋体"/>
          <w:spacing w:val="-4"/>
          <w:sz w:val="24"/>
          <w:szCs w:val="24"/>
          <w:highlight w:val="none"/>
        </w:rPr>
        <w:t>家的。</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重新比选后竞标人仍少于</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个，按法定程序开标和评标，确定入围供应</w:t>
      </w:r>
      <w:r>
        <w:rPr>
          <w:rFonts w:ascii="宋体" w:hAnsi="宋体" w:eastAsia="宋体" w:cs="宋体"/>
          <w:spacing w:val="-2"/>
          <w:sz w:val="24"/>
          <w:szCs w:val="24"/>
          <w:highlight w:val="none"/>
        </w:rPr>
        <w:t>商。</w:t>
      </w:r>
    </w:p>
    <w:p w14:paraId="7CE9B19A">
      <w:pPr>
        <w:spacing w:line="233" w:lineRule="auto"/>
        <w:rPr>
          <w:rFonts w:ascii="宋体" w:hAnsi="宋体" w:eastAsia="宋体" w:cs="宋体"/>
          <w:sz w:val="24"/>
          <w:szCs w:val="24"/>
          <w:highlight w:val="none"/>
        </w:rPr>
        <w:sectPr>
          <w:footerReference r:id="rId11" w:type="default"/>
          <w:pgSz w:w="11907" w:h="16840"/>
          <w:pgMar w:top="933" w:right="1110" w:bottom="1200" w:left="1310" w:header="0" w:footer="996" w:gutter="0"/>
          <w:cols w:space="720" w:num="1"/>
        </w:sectPr>
      </w:pPr>
    </w:p>
    <w:p w14:paraId="5D0F4174">
      <w:pPr>
        <w:spacing w:before="42" w:line="229" w:lineRule="auto"/>
        <w:ind w:left="32"/>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1E610721">
      <w:pPr>
        <w:spacing w:before="346" w:line="216" w:lineRule="auto"/>
        <w:ind w:left="3083"/>
        <w:outlineLvl w:val="0"/>
        <w:rPr>
          <w:rFonts w:ascii="微软雅黑" w:hAnsi="微软雅黑" w:eastAsia="微软雅黑" w:cs="微软雅黑"/>
          <w:sz w:val="35"/>
          <w:szCs w:val="35"/>
          <w:highlight w:val="none"/>
        </w:rPr>
      </w:pPr>
      <w:bookmarkStart w:id="46" w:name="bookmark30"/>
      <w:bookmarkEnd w:id="46"/>
      <w:bookmarkStart w:id="47" w:name="bookmark32"/>
      <w:bookmarkEnd w:id="47"/>
      <w:r>
        <w:rPr>
          <w:rFonts w:ascii="微软雅黑" w:hAnsi="微软雅黑" w:eastAsia="微软雅黑" w:cs="微软雅黑"/>
          <w:spacing w:val="8"/>
          <w:sz w:val="35"/>
          <w:szCs w:val="35"/>
          <w:highlight w:val="none"/>
        </w:rPr>
        <w:t>第五篇</w:t>
      </w:r>
      <w:r>
        <w:rPr>
          <w:rFonts w:ascii="微软雅黑" w:hAnsi="微软雅黑" w:eastAsia="微软雅黑" w:cs="微软雅黑"/>
          <w:spacing w:val="19"/>
          <w:sz w:val="35"/>
          <w:szCs w:val="35"/>
          <w:highlight w:val="none"/>
        </w:rPr>
        <w:t xml:space="preserve">   </w:t>
      </w:r>
      <w:r>
        <w:rPr>
          <w:rFonts w:ascii="微软雅黑" w:hAnsi="微软雅黑" w:eastAsia="微软雅黑" w:cs="微软雅黑"/>
          <w:spacing w:val="8"/>
          <w:sz w:val="35"/>
          <w:szCs w:val="35"/>
          <w:highlight w:val="none"/>
        </w:rPr>
        <w:t>供应商须知</w:t>
      </w:r>
    </w:p>
    <w:p w14:paraId="3A92BCFC">
      <w:pPr>
        <w:pStyle w:val="2"/>
        <w:spacing w:line="262" w:lineRule="auto"/>
        <w:rPr>
          <w:highlight w:val="none"/>
        </w:rPr>
      </w:pPr>
    </w:p>
    <w:p w14:paraId="378A2BAA">
      <w:pPr>
        <w:pStyle w:val="2"/>
        <w:spacing w:line="263" w:lineRule="auto"/>
        <w:rPr>
          <w:highlight w:val="none"/>
        </w:rPr>
      </w:pPr>
    </w:p>
    <w:p w14:paraId="5A4E6144">
      <w:pPr>
        <w:spacing w:before="78" w:line="219" w:lineRule="auto"/>
        <w:ind w:left="484"/>
        <w:outlineLvl w:val="1"/>
        <w:rPr>
          <w:rFonts w:ascii="宋体" w:hAnsi="宋体" w:eastAsia="宋体" w:cs="宋体"/>
          <w:sz w:val="24"/>
          <w:szCs w:val="24"/>
          <w:highlight w:val="none"/>
        </w:rPr>
      </w:pPr>
      <w:r>
        <w:rPr>
          <w:rFonts w:ascii="宋体" w:hAnsi="宋体" w:eastAsia="宋体" w:cs="宋体"/>
          <w:spacing w:val="-3"/>
          <w:sz w:val="24"/>
          <w:szCs w:val="24"/>
          <w:highlight w:val="none"/>
        </w:rPr>
        <w:t>一、供应商</w:t>
      </w:r>
    </w:p>
    <w:p w14:paraId="43EBE79C">
      <w:pPr>
        <w:spacing w:before="116" w:line="219"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（一）合格供应商条件</w:t>
      </w:r>
    </w:p>
    <w:p w14:paraId="349DE2A1">
      <w:pPr>
        <w:spacing w:before="117" w:line="293" w:lineRule="auto"/>
        <w:ind w:left="27" w:firstLine="454"/>
        <w:rPr>
          <w:rFonts w:ascii="宋体" w:hAnsi="宋体" w:eastAsia="宋体" w:cs="宋体"/>
          <w:sz w:val="24"/>
          <w:szCs w:val="24"/>
          <w:highlight w:val="none"/>
        </w:rPr>
      </w:pPr>
      <w:r>
        <w:rPr>
          <w:rFonts w:ascii="宋体" w:hAnsi="宋体" w:eastAsia="宋体" w:cs="宋体"/>
          <w:sz w:val="24"/>
          <w:szCs w:val="24"/>
          <w:highlight w:val="none"/>
        </w:rPr>
        <w:t>合格供应商应完全符合竞争性比选文件第一篇中规定的供</w:t>
      </w:r>
      <w:r>
        <w:rPr>
          <w:rFonts w:ascii="宋体" w:hAnsi="宋体" w:eastAsia="宋体" w:cs="宋体"/>
          <w:spacing w:val="-1"/>
          <w:sz w:val="24"/>
          <w:szCs w:val="24"/>
          <w:highlight w:val="none"/>
        </w:rPr>
        <w:t>应商资格条件，并对竞争性</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比选文件作出实质性响应。</w:t>
      </w:r>
    </w:p>
    <w:p w14:paraId="5228B464">
      <w:pPr>
        <w:spacing w:before="36" w:line="219"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（二）供应商的风险</w:t>
      </w:r>
    </w:p>
    <w:p w14:paraId="421A6FA0">
      <w:pPr>
        <w:spacing w:before="117" w:line="293" w:lineRule="auto"/>
        <w:ind w:firstLine="480"/>
        <w:rPr>
          <w:rFonts w:ascii="宋体" w:hAnsi="宋体" w:eastAsia="宋体" w:cs="宋体"/>
          <w:sz w:val="24"/>
          <w:szCs w:val="24"/>
          <w:highlight w:val="none"/>
        </w:rPr>
      </w:pPr>
      <w:r>
        <w:rPr>
          <w:rFonts w:ascii="宋体" w:hAnsi="宋体" w:eastAsia="宋体" w:cs="宋体"/>
          <w:sz w:val="24"/>
          <w:szCs w:val="24"/>
          <w:highlight w:val="none"/>
        </w:rPr>
        <w:t>供应商没有按照竞争性比选文件要求提供全部资料，或者供</w:t>
      </w:r>
      <w:r>
        <w:rPr>
          <w:rFonts w:ascii="宋体" w:hAnsi="宋体" w:eastAsia="宋体" w:cs="宋体"/>
          <w:spacing w:val="-1"/>
          <w:sz w:val="24"/>
          <w:szCs w:val="24"/>
          <w:highlight w:val="none"/>
        </w:rPr>
        <w:t>应商没有对竞争性比选文</w:t>
      </w:r>
      <w:r>
        <w:rPr>
          <w:rFonts w:ascii="宋体" w:hAnsi="宋体" w:eastAsia="宋体" w:cs="宋体"/>
          <w:sz w:val="24"/>
          <w:szCs w:val="24"/>
          <w:highlight w:val="none"/>
        </w:rPr>
        <w:t xml:space="preserve"> 件在各方面作出实质性响应，可能导致投标被拒</w:t>
      </w:r>
      <w:r>
        <w:rPr>
          <w:rFonts w:ascii="宋体" w:hAnsi="宋体" w:eastAsia="宋体" w:cs="宋体"/>
          <w:spacing w:val="-1"/>
          <w:sz w:val="24"/>
          <w:szCs w:val="24"/>
          <w:highlight w:val="none"/>
        </w:rPr>
        <w:t>绝或评定为无效投标。</w:t>
      </w:r>
    </w:p>
    <w:p w14:paraId="2D8B05A4">
      <w:pPr>
        <w:spacing w:before="36"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（三）供应商的投标费用</w:t>
      </w:r>
    </w:p>
    <w:p w14:paraId="51209A1B">
      <w:pPr>
        <w:spacing w:before="116" w:line="293" w:lineRule="auto"/>
        <w:ind w:left="1" w:firstLine="480"/>
        <w:rPr>
          <w:rFonts w:ascii="宋体" w:hAnsi="宋体" w:eastAsia="宋体" w:cs="宋体"/>
          <w:sz w:val="24"/>
          <w:szCs w:val="24"/>
          <w:highlight w:val="none"/>
        </w:rPr>
      </w:pPr>
      <w:r>
        <w:rPr>
          <w:rFonts w:ascii="宋体" w:hAnsi="宋体" w:eastAsia="宋体" w:cs="宋体"/>
          <w:sz w:val="24"/>
          <w:szCs w:val="24"/>
          <w:highlight w:val="none"/>
        </w:rPr>
        <w:t>参与投标的供应商应承担其编制响应文件与递交响应文</w:t>
      </w:r>
      <w:r>
        <w:rPr>
          <w:rFonts w:ascii="宋体" w:hAnsi="宋体" w:eastAsia="宋体" w:cs="宋体"/>
          <w:spacing w:val="-1"/>
          <w:sz w:val="24"/>
          <w:szCs w:val="24"/>
          <w:highlight w:val="none"/>
        </w:rPr>
        <w:t>件所涉及的一切费用，不论招</w:t>
      </w:r>
      <w:r>
        <w:rPr>
          <w:rFonts w:ascii="宋体" w:hAnsi="宋体" w:eastAsia="宋体" w:cs="宋体"/>
          <w:sz w:val="24"/>
          <w:szCs w:val="24"/>
          <w:highlight w:val="none"/>
        </w:rPr>
        <w:t xml:space="preserve"> 标结果如何，采购人和采购代理机构在任何情况下无义</w:t>
      </w:r>
      <w:r>
        <w:rPr>
          <w:rFonts w:ascii="宋体" w:hAnsi="宋体" w:eastAsia="宋体" w:cs="宋体"/>
          <w:spacing w:val="-1"/>
          <w:sz w:val="24"/>
          <w:szCs w:val="24"/>
          <w:highlight w:val="none"/>
        </w:rPr>
        <w:t>务也无责任承担这些费用。</w:t>
      </w:r>
    </w:p>
    <w:p w14:paraId="18B65524">
      <w:pPr>
        <w:spacing w:before="39" w:line="219" w:lineRule="auto"/>
        <w:ind w:left="484"/>
        <w:outlineLvl w:val="1"/>
        <w:rPr>
          <w:rFonts w:ascii="宋体" w:hAnsi="宋体" w:eastAsia="宋体" w:cs="宋体"/>
          <w:sz w:val="24"/>
          <w:szCs w:val="24"/>
          <w:highlight w:val="none"/>
        </w:rPr>
      </w:pPr>
      <w:bookmarkStart w:id="48" w:name="bookmark34"/>
      <w:bookmarkEnd w:id="48"/>
      <w:r>
        <w:rPr>
          <w:rFonts w:ascii="宋体" w:hAnsi="宋体" w:eastAsia="宋体" w:cs="宋体"/>
          <w:spacing w:val="-2"/>
          <w:sz w:val="24"/>
          <w:szCs w:val="24"/>
          <w:highlight w:val="none"/>
        </w:rPr>
        <w:t>二、竞争性比选文件</w:t>
      </w:r>
    </w:p>
    <w:p w14:paraId="0557FA38">
      <w:pPr>
        <w:spacing w:before="115" w:line="278" w:lineRule="auto"/>
        <w:ind w:firstLine="492"/>
        <w:rPr>
          <w:rFonts w:ascii="宋体" w:hAnsi="宋体" w:eastAsia="宋体" w:cs="宋体"/>
          <w:sz w:val="24"/>
          <w:szCs w:val="24"/>
          <w:highlight w:val="none"/>
        </w:rPr>
      </w:pPr>
      <w:r>
        <w:rPr>
          <w:rFonts w:ascii="宋体" w:hAnsi="宋体" w:eastAsia="宋体" w:cs="宋体"/>
          <w:spacing w:val="-1"/>
          <w:sz w:val="24"/>
          <w:szCs w:val="24"/>
          <w:highlight w:val="none"/>
        </w:rPr>
        <w:t>（一）竞争性比选文件由采购邀请书、项目服务需求、供应商须知、项目商务需求、</w:t>
      </w:r>
      <w:r>
        <w:rPr>
          <w:rFonts w:ascii="宋体" w:hAnsi="宋体" w:eastAsia="宋体" w:cs="宋体"/>
          <w:spacing w:val="15"/>
          <w:sz w:val="24"/>
          <w:szCs w:val="24"/>
          <w:highlight w:val="none"/>
        </w:rPr>
        <w:t xml:space="preserve"> </w:t>
      </w:r>
      <w:r>
        <w:rPr>
          <w:rFonts w:ascii="宋体" w:hAnsi="宋体" w:eastAsia="宋体" w:cs="宋体"/>
          <w:sz w:val="24"/>
          <w:szCs w:val="24"/>
          <w:highlight w:val="none"/>
        </w:rPr>
        <w:t>评审程序及方法、评审标准、无效响应和采购终止、供应商须知、</w:t>
      </w:r>
      <w:r>
        <w:rPr>
          <w:rFonts w:ascii="宋体" w:hAnsi="宋体" w:eastAsia="宋体" w:cs="宋体"/>
          <w:spacing w:val="-1"/>
          <w:sz w:val="24"/>
          <w:szCs w:val="24"/>
          <w:highlight w:val="none"/>
        </w:rPr>
        <w:t>采购合同、响应文件编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制要求七部分组成。</w:t>
      </w:r>
    </w:p>
    <w:p w14:paraId="6DE49998">
      <w:pPr>
        <w:spacing w:before="116" w:line="263" w:lineRule="auto"/>
        <w:ind w:left="5" w:firstLine="486"/>
        <w:rPr>
          <w:rFonts w:ascii="宋体" w:hAnsi="宋体" w:eastAsia="宋体" w:cs="宋体"/>
          <w:sz w:val="24"/>
          <w:szCs w:val="24"/>
          <w:highlight w:val="none"/>
        </w:rPr>
      </w:pPr>
      <w:r>
        <w:rPr>
          <w:rFonts w:ascii="宋体" w:hAnsi="宋体" w:eastAsia="宋体" w:cs="宋体"/>
          <w:spacing w:val="-1"/>
          <w:sz w:val="24"/>
          <w:szCs w:val="24"/>
          <w:highlight w:val="none"/>
        </w:rPr>
        <w:t>（二）采购人（或采购代理机构）所作的一切有效的书面通知、修改及补充，都是竞</w:t>
      </w:r>
      <w:r>
        <w:rPr>
          <w:rFonts w:ascii="宋体" w:hAnsi="宋体" w:eastAsia="宋体" w:cs="宋体"/>
          <w:spacing w:val="15"/>
          <w:sz w:val="24"/>
          <w:szCs w:val="24"/>
          <w:highlight w:val="none"/>
        </w:rPr>
        <w:t xml:space="preserve"> </w:t>
      </w:r>
      <w:r>
        <w:rPr>
          <w:rFonts w:ascii="宋体" w:hAnsi="宋体" w:eastAsia="宋体" w:cs="宋体"/>
          <w:spacing w:val="-2"/>
          <w:sz w:val="24"/>
          <w:szCs w:val="24"/>
          <w:highlight w:val="none"/>
        </w:rPr>
        <w:t>争性比选文件不可分割的部分。</w:t>
      </w:r>
    </w:p>
    <w:p w14:paraId="3B4C9D89">
      <w:pPr>
        <w:spacing w:before="116"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（三）竞争性比选文件的解释</w:t>
      </w:r>
    </w:p>
    <w:p w14:paraId="18E637C4">
      <w:pPr>
        <w:spacing w:before="116" w:line="302" w:lineRule="auto"/>
        <w:ind w:firstLine="480"/>
        <w:jc w:val="both"/>
        <w:rPr>
          <w:rFonts w:ascii="宋体" w:hAnsi="宋体" w:eastAsia="宋体" w:cs="宋体"/>
          <w:sz w:val="24"/>
          <w:szCs w:val="24"/>
          <w:highlight w:val="none"/>
        </w:rPr>
      </w:pPr>
      <w:r>
        <w:rPr>
          <w:rFonts w:ascii="宋体" w:hAnsi="宋体" w:eastAsia="宋体" w:cs="宋体"/>
          <w:spacing w:val="-1"/>
          <w:sz w:val="24"/>
          <w:szCs w:val="24"/>
          <w:highlight w:val="none"/>
        </w:rPr>
        <w:t>供应商如对竞争性比选文件有疑问，必须以书面形式在提交响应文件截止时间</w:t>
      </w:r>
      <w:r>
        <w:rPr>
          <w:rFonts w:ascii="宋体" w:hAnsi="宋体" w:eastAsia="宋体" w:cs="宋体"/>
          <w:spacing w:val="-43"/>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个工</w:t>
      </w:r>
      <w:r>
        <w:rPr>
          <w:rFonts w:ascii="宋体" w:hAnsi="宋体" w:eastAsia="宋体" w:cs="宋体"/>
          <w:sz w:val="24"/>
          <w:szCs w:val="24"/>
          <w:highlight w:val="none"/>
        </w:rPr>
        <w:t xml:space="preserve"> 作日前向采购人（或采购代理机构）要求澄清，采购人（或采购代</w:t>
      </w:r>
      <w:r>
        <w:rPr>
          <w:rFonts w:ascii="宋体" w:hAnsi="宋体" w:eastAsia="宋体" w:cs="宋体"/>
          <w:spacing w:val="-1"/>
          <w:sz w:val="24"/>
          <w:szCs w:val="24"/>
          <w:highlight w:val="none"/>
        </w:rPr>
        <w:t>理机构）可视具体情况</w:t>
      </w:r>
      <w:r>
        <w:rPr>
          <w:rFonts w:ascii="宋体" w:hAnsi="宋体" w:eastAsia="宋体" w:cs="宋体"/>
          <w:sz w:val="24"/>
          <w:szCs w:val="24"/>
          <w:highlight w:val="none"/>
        </w:rPr>
        <w:t xml:space="preserve"> 做出处理或答复。如供应商未提出疑问，视为完全理解并同意本竞</w:t>
      </w:r>
      <w:r>
        <w:rPr>
          <w:rFonts w:ascii="宋体" w:hAnsi="宋体" w:eastAsia="宋体" w:cs="宋体"/>
          <w:spacing w:val="-1"/>
          <w:sz w:val="24"/>
          <w:szCs w:val="24"/>
          <w:highlight w:val="none"/>
        </w:rPr>
        <w:t>争性比选文件。一经进</w:t>
      </w:r>
      <w:r>
        <w:rPr>
          <w:rFonts w:ascii="宋体" w:hAnsi="宋体" w:eastAsia="宋体" w:cs="宋体"/>
          <w:sz w:val="24"/>
          <w:szCs w:val="24"/>
          <w:highlight w:val="none"/>
        </w:rPr>
        <w:t xml:space="preserve"> 入开标程序，即视为供应商已详细阅读全部文件资料，完全理解竞</w:t>
      </w:r>
      <w:r>
        <w:rPr>
          <w:rFonts w:ascii="宋体" w:hAnsi="宋体" w:eastAsia="宋体" w:cs="宋体"/>
          <w:spacing w:val="-1"/>
          <w:sz w:val="24"/>
          <w:szCs w:val="24"/>
          <w:highlight w:val="none"/>
        </w:rPr>
        <w:t>争性比选文件所有条款</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内容并同意放弃对这方面有不明白及误解的权利。</w:t>
      </w:r>
    </w:p>
    <w:p w14:paraId="0D89EC85">
      <w:pPr>
        <w:spacing w:before="35" w:line="295" w:lineRule="auto"/>
        <w:ind w:firstLine="491"/>
        <w:rPr>
          <w:rFonts w:ascii="宋体" w:hAnsi="宋体" w:eastAsia="宋体" w:cs="宋体"/>
          <w:sz w:val="24"/>
          <w:szCs w:val="24"/>
          <w:highlight w:val="none"/>
        </w:rPr>
      </w:pPr>
      <w:r>
        <w:rPr>
          <w:rFonts w:ascii="宋体" w:hAnsi="宋体" w:eastAsia="宋体" w:cs="宋体"/>
          <w:spacing w:val="-1"/>
          <w:sz w:val="24"/>
          <w:szCs w:val="24"/>
          <w:highlight w:val="none"/>
        </w:rPr>
        <w:t>（四）评审的依据为竞争性比选文件和响应文件（含有效的书面承诺）。评标委员会</w:t>
      </w:r>
      <w:r>
        <w:rPr>
          <w:rFonts w:ascii="宋体" w:hAnsi="宋体" w:eastAsia="宋体" w:cs="宋体"/>
          <w:spacing w:val="15"/>
          <w:sz w:val="24"/>
          <w:szCs w:val="24"/>
          <w:highlight w:val="none"/>
        </w:rPr>
        <w:t xml:space="preserve"> </w:t>
      </w:r>
      <w:r>
        <w:rPr>
          <w:rFonts w:ascii="宋体" w:hAnsi="宋体" w:eastAsia="宋体" w:cs="宋体"/>
          <w:sz w:val="24"/>
          <w:szCs w:val="24"/>
          <w:highlight w:val="none"/>
        </w:rPr>
        <w:t>判断响应文件对竞争性比选文件的响应，仅基于响应文</w:t>
      </w:r>
      <w:r>
        <w:rPr>
          <w:rFonts w:ascii="宋体" w:hAnsi="宋体" w:eastAsia="宋体" w:cs="宋体"/>
          <w:spacing w:val="-1"/>
          <w:sz w:val="24"/>
          <w:szCs w:val="24"/>
          <w:highlight w:val="none"/>
        </w:rPr>
        <w:t>件本身而不靠外部证据。</w:t>
      </w:r>
    </w:p>
    <w:p w14:paraId="738DFF04">
      <w:pPr>
        <w:spacing w:before="33" w:line="220" w:lineRule="auto"/>
        <w:ind w:left="480"/>
        <w:outlineLvl w:val="1"/>
        <w:rPr>
          <w:rFonts w:ascii="宋体" w:hAnsi="宋体" w:eastAsia="宋体" w:cs="宋体"/>
          <w:sz w:val="24"/>
          <w:szCs w:val="24"/>
          <w:highlight w:val="none"/>
        </w:rPr>
      </w:pPr>
      <w:bookmarkStart w:id="49" w:name="bookmark36"/>
      <w:bookmarkEnd w:id="49"/>
      <w:bookmarkStart w:id="50" w:name="bookmark38"/>
      <w:bookmarkEnd w:id="50"/>
      <w:r>
        <w:rPr>
          <w:rFonts w:ascii="宋体" w:hAnsi="宋体" w:eastAsia="宋体" w:cs="宋体"/>
          <w:spacing w:val="-2"/>
          <w:sz w:val="24"/>
          <w:szCs w:val="24"/>
          <w:highlight w:val="none"/>
        </w:rPr>
        <w:t>三、投标要求</w:t>
      </w:r>
    </w:p>
    <w:p w14:paraId="0DCB297A">
      <w:pPr>
        <w:spacing w:before="115" w:line="219"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（一）响应文件</w:t>
      </w:r>
    </w:p>
    <w:p w14:paraId="16064510">
      <w:pPr>
        <w:spacing w:before="117" w:line="299" w:lineRule="auto"/>
        <w:ind w:left="1" w:firstLine="496"/>
        <w:rPr>
          <w:rFonts w:ascii="宋体" w:hAnsi="宋体" w:eastAsia="宋体" w:cs="宋体"/>
          <w:sz w:val="24"/>
          <w:szCs w:val="24"/>
          <w:highlight w:val="none"/>
        </w:rPr>
      </w:pPr>
      <w:r>
        <w:rPr>
          <w:rFonts w:ascii="宋体" w:hAnsi="宋体" w:eastAsia="宋体" w:cs="宋体"/>
          <w:spacing w:val="-1"/>
          <w:sz w:val="24"/>
          <w:szCs w:val="24"/>
          <w:highlight w:val="none"/>
        </w:rPr>
        <w:t>1.供应商应当按照竞争性比选文件的要求编制响应文件，并对竞争性比选文件提出的</w:t>
      </w:r>
      <w:r>
        <w:rPr>
          <w:rFonts w:ascii="宋体" w:hAnsi="宋体" w:eastAsia="宋体" w:cs="宋体"/>
          <w:spacing w:val="9"/>
          <w:sz w:val="24"/>
          <w:szCs w:val="24"/>
          <w:highlight w:val="none"/>
        </w:rPr>
        <w:t xml:space="preserve"> </w:t>
      </w:r>
      <w:r>
        <w:rPr>
          <w:rFonts w:ascii="宋体" w:hAnsi="宋体" w:eastAsia="宋体" w:cs="宋体"/>
          <w:spacing w:val="-2"/>
          <w:sz w:val="24"/>
          <w:szCs w:val="24"/>
          <w:highlight w:val="none"/>
        </w:rPr>
        <w:t>要求和条件作出实质性响应，响应文件原则上采用软面订本，同时应编制完整的页码、</w:t>
      </w:r>
      <w:r>
        <w:rPr>
          <w:rFonts w:ascii="宋体" w:hAnsi="宋体" w:eastAsia="宋体" w:cs="宋体"/>
          <w:spacing w:val="-54"/>
          <w:sz w:val="24"/>
          <w:szCs w:val="24"/>
          <w:highlight w:val="none"/>
        </w:rPr>
        <w:t xml:space="preserve"> </w:t>
      </w:r>
      <w:r>
        <w:rPr>
          <w:rFonts w:ascii="宋体" w:hAnsi="宋体" w:eastAsia="宋体" w:cs="宋体"/>
          <w:spacing w:val="-2"/>
          <w:sz w:val="24"/>
          <w:szCs w:val="24"/>
          <w:highlight w:val="none"/>
        </w:rPr>
        <w:t>目</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录。</w:t>
      </w:r>
    </w:p>
    <w:p w14:paraId="42CF265A">
      <w:pPr>
        <w:spacing w:before="33" w:line="219"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2.响应文件组成</w:t>
      </w:r>
    </w:p>
    <w:p w14:paraId="7C97B642">
      <w:pPr>
        <w:spacing w:before="113" w:line="295" w:lineRule="auto"/>
        <w:ind w:firstLine="492"/>
        <w:rPr>
          <w:rFonts w:ascii="宋体" w:hAnsi="宋体" w:eastAsia="宋体" w:cs="宋体"/>
          <w:sz w:val="24"/>
          <w:szCs w:val="24"/>
          <w:highlight w:val="none"/>
        </w:rPr>
      </w:pPr>
      <w:r>
        <w:rPr>
          <w:rFonts w:ascii="宋体" w:hAnsi="宋体" w:eastAsia="宋体" w:cs="宋体"/>
          <w:spacing w:val="-1"/>
          <w:sz w:val="24"/>
          <w:szCs w:val="24"/>
          <w:highlight w:val="none"/>
        </w:rPr>
        <w:t>响应文件由第七篇“响应文件编制要求</w:t>
      </w:r>
      <w:r>
        <w:rPr>
          <w:rFonts w:ascii="宋体" w:hAnsi="宋体" w:eastAsia="宋体" w:cs="宋体"/>
          <w:spacing w:val="-88"/>
          <w:sz w:val="24"/>
          <w:szCs w:val="24"/>
          <w:highlight w:val="none"/>
        </w:rPr>
        <w:t xml:space="preserve"> </w:t>
      </w:r>
      <w:r>
        <w:rPr>
          <w:rFonts w:ascii="宋体" w:hAnsi="宋体" w:eastAsia="宋体" w:cs="宋体"/>
          <w:spacing w:val="-1"/>
          <w:sz w:val="24"/>
          <w:szCs w:val="24"/>
          <w:highlight w:val="none"/>
        </w:rPr>
        <w:t>”规</w:t>
      </w:r>
      <w:r>
        <w:rPr>
          <w:rFonts w:ascii="宋体" w:hAnsi="宋体" w:eastAsia="宋体" w:cs="宋体"/>
          <w:spacing w:val="-2"/>
          <w:sz w:val="24"/>
          <w:szCs w:val="24"/>
          <w:highlight w:val="none"/>
        </w:rPr>
        <w:t>定的部分和供应商所作的一切有效补充、</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修改和承诺等文件组成，供应商应按照第七篇“响应文件编制要求</w:t>
      </w:r>
      <w:r>
        <w:rPr>
          <w:rFonts w:ascii="宋体" w:hAnsi="宋体" w:eastAsia="宋体" w:cs="宋体"/>
          <w:spacing w:val="-88"/>
          <w:sz w:val="24"/>
          <w:szCs w:val="24"/>
          <w:highlight w:val="none"/>
        </w:rPr>
        <w:t xml:space="preserve"> </w:t>
      </w:r>
      <w:r>
        <w:rPr>
          <w:rFonts w:ascii="宋体" w:hAnsi="宋体" w:eastAsia="宋体" w:cs="宋体"/>
          <w:spacing w:val="-1"/>
          <w:sz w:val="24"/>
          <w:szCs w:val="24"/>
          <w:highlight w:val="none"/>
        </w:rPr>
        <w:t>”规定的目录</w:t>
      </w:r>
      <w:r>
        <w:rPr>
          <w:rFonts w:ascii="宋体" w:hAnsi="宋体" w:eastAsia="宋体" w:cs="宋体"/>
          <w:spacing w:val="-2"/>
          <w:sz w:val="24"/>
          <w:szCs w:val="24"/>
          <w:highlight w:val="none"/>
        </w:rPr>
        <w:t>顺序组织</w:t>
      </w:r>
    </w:p>
    <w:p w14:paraId="4B7D609A">
      <w:pPr>
        <w:spacing w:line="295" w:lineRule="auto"/>
        <w:rPr>
          <w:rFonts w:ascii="宋体" w:hAnsi="宋体" w:eastAsia="宋体" w:cs="宋体"/>
          <w:sz w:val="24"/>
          <w:szCs w:val="24"/>
          <w:highlight w:val="none"/>
        </w:rPr>
        <w:sectPr>
          <w:footerReference r:id="rId12" w:type="default"/>
          <w:pgSz w:w="11907" w:h="16840"/>
          <w:pgMar w:top="820" w:right="1243" w:bottom="1200" w:left="1311" w:header="0" w:footer="996" w:gutter="0"/>
          <w:cols w:space="720" w:num="1"/>
        </w:sectPr>
      </w:pPr>
    </w:p>
    <w:p w14:paraId="65E46E4F">
      <w:pPr>
        <w:spacing w:before="42" w:line="327" w:lineRule="auto"/>
        <w:ind w:left="2" w:right="147" w:firstLine="29"/>
        <w:rPr>
          <w:rFonts w:ascii="宋体" w:hAnsi="宋体" w:eastAsia="宋体" w:cs="宋体"/>
          <w:sz w:val="24"/>
          <w:szCs w:val="24"/>
          <w:highlight w:val="none"/>
        </w:rPr>
      </w:pPr>
      <w:r>
        <w:rPr>
          <w:rFonts w:hint="eastAsia" w:ascii="仿宋" w:hAnsi="仿宋" w:eastAsia="仿宋" w:cs="仿宋"/>
          <w:spacing w:val="5"/>
          <w:sz w:val="20"/>
          <w:szCs w:val="20"/>
          <w:highlight w:val="none"/>
          <w:lang w:eastAsia="zh-CN"/>
        </w:rPr>
        <w:t xml:space="preserve"> </w:t>
      </w:r>
      <w:r>
        <w:rPr>
          <w:rFonts w:ascii="仿宋" w:hAnsi="仿宋" w:eastAsia="仿宋" w:cs="仿宋"/>
          <w:sz w:val="20"/>
          <w:szCs w:val="20"/>
          <w:highlight w:val="none"/>
        </w:rPr>
        <w:t xml:space="preserve"> </w:t>
      </w:r>
      <w:r>
        <w:rPr>
          <w:rFonts w:ascii="宋体" w:hAnsi="宋体" w:eastAsia="宋体" w:cs="宋体"/>
          <w:spacing w:val="-1"/>
          <w:sz w:val="24"/>
          <w:szCs w:val="24"/>
          <w:highlight w:val="none"/>
        </w:rPr>
        <w:t>编写和装订，也可在基本格式基础上对表格进行扩展，未规定格式的</w:t>
      </w:r>
      <w:r>
        <w:rPr>
          <w:rFonts w:ascii="宋体" w:hAnsi="宋体" w:eastAsia="宋体" w:cs="宋体"/>
          <w:spacing w:val="-2"/>
          <w:sz w:val="24"/>
          <w:szCs w:val="24"/>
          <w:highlight w:val="none"/>
        </w:rPr>
        <w:t>由供应商自定格式。</w:t>
      </w:r>
    </w:p>
    <w:p w14:paraId="6127EBC5">
      <w:pPr>
        <w:spacing w:before="5" w:line="221" w:lineRule="auto"/>
        <w:ind w:left="492"/>
        <w:rPr>
          <w:rFonts w:ascii="宋体" w:hAnsi="宋体" w:eastAsia="宋体" w:cs="宋体"/>
          <w:sz w:val="24"/>
          <w:szCs w:val="24"/>
          <w:highlight w:val="none"/>
        </w:rPr>
      </w:pPr>
      <w:r>
        <w:rPr>
          <w:rFonts w:ascii="宋体" w:hAnsi="宋体" w:eastAsia="宋体" w:cs="宋体"/>
          <w:spacing w:val="-4"/>
          <w:sz w:val="24"/>
          <w:szCs w:val="24"/>
          <w:highlight w:val="none"/>
        </w:rPr>
        <w:t>（二）联合体</w:t>
      </w:r>
    </w:p>
    <w:p w14:paraId="7C9EFAA8">
      <w:pPr>
        <w:spacing w:before="113"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本项目不接受联合体参与。</w:t>
      </w:r>
    </w:p>
    <w:p w14:paraId="55334552">
      <w:pPr>
        <w:spacing w:before="116" w:line="220"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（一）投标有效期</w:t>
      </w:r>
    </w:p>
    <w:p w14:paraId="4B802294">
      <w:pPr>
        <w:spacing w:before="112" w:line="219" w:lineRule="auto"/>
        <w:ind w:left="493"/>
        <w:rPr>
          <w:rFonts w:ascii="宋体" w:hAnsi="宋体" w:eastAsia="宋体" w:cs="宋体"/>
          <w:sz w:val="24"/>
          <w:szCs w:val="24"/>
          <w:highlight w:val="none"/>
        </w:rPr>
      </w:pPr>
      <w:r>
        <w:rPr>
          <w:rFonts w:ascii="宋体" w:hAnsi="宋体" w:eastAsia="宋体" w:cs="宋体"/>
          <w:spacing w:val="-2"/>
          <w:sz w:val="24"/>
          <w:szCs w:val="24"/>
          <w:highlight w:val="none"/>
        </w:rPr>
        <w:t>响应文件及有关承诺文件有效期为提交响应文件截止时间起</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90</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w:t>
      </w:r>
    </w:p>
    <w:p w14:paraId="65D0C725">
      <w:pPr>
        <w:spacing w:before="116" w:line="220"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（四）比选保证金</w:t>
      </w:r>
    </w:p>
    <w:p w14:paraId="2329F3C0">
      <w:pPr>
        <w:spacing w:before="114"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1．供应商提交保证金金额和方式详见“第一篇  五、保证金</w:t>
      </w:r>
      <w:r>
        <w:rPr>
          <w:rFonts w:ascii="宋体" w:hAnsi="宋体" w:eastAsia="宋体" w:cs="宋体"/>
          <w:spacing w:val="-89"/>
          <w:sz w:val="24"/>
          <w:szCs w:val="24"/>
          <w:highlight w:val="none"/>
        </w:rPr>
        <w:t xml:space="preserve"> </w:t>
      </w:r>
      <w:r>
        <w:rPr>
          <w:rFonts w:ascii="宋体" w:hAnsi="宋体" w:eastAsia="宋体" w:cs="宋体"/>
          <w:spacing w:val="-1"/>
          <w:sz w:val="24"/>
          <w:szCs w:val="24"/>
          <w:highlight w:val="none"/>
        </w:rPr>
        <w:t>”；</w:t>
      </w:r>
    </w:p>
    <w:p w14:paraId="7AFB6969">
      <w:pPr>
        <w:spacing w:before="114" w:line="220"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2．发生以下情况之一者，比选保证金不予退还：</w:t>
      </w:r>
    </w:p>
    <w:p w14:paraId="4AB32E10">
      <w:pPr>
        <w:spacing w:before="114"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2.1</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供应商在提交响应文件截止时间后撤回响应文件的；</w:t>
      </w:r>
    </w:p>
    <w:p w14:paraId="55F944B3">
      <w:pPr>
        <w:spacing w:before="116" w:line="219"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2.2</w:t>
      </w:r>
      <w:r>
        <w:rPr>
          <w:rFonts w:ascii="宋体" w:hAnsi="宋体" w:eastAsia="宋体" w:cs="宋体"/>
          <w:spacing w:val="-34"/>
          <w:sz w:val="24"/>
          <w:szCs w:val="24"/>
          <w:highlight w:val="none"/>
        </w:rPr>
        <w:t xml:space="preserve"> </w:t>
      </w:r>
      <w:r>
        <w:rPr>
          <w:rFonts w:ascii="宋体" w:hAnsi="宋体" w:eastAsia="宋体" w:cs="宋体"/>
          <w:spacing w:val="-2"/>
          <w:sz w:val="24"/>
          <w:szCs w:val="24"/>
          <w:highlight w:val="none"/>
        </w:rPr>
        <w:t>供应商在响应文件中提供虚假材料的；</w:t>
      </w:r>
    </w:p>
    <w:p w14:paraId="10579654">
      <w:pPr>
        <w:spacing w:before="114" w:line="265" w:lineRule="auto"/>
        <w:ind w:left="24" w:right="193" w:firstLine="459"/>
        <w:rPr>
          <w:rFonts w:ascii="宋体" w:hAnsi="宋体" w:eastAsia="宋体" w:cs="宋体"/>
          <w:sz w:val="24"/>
          <w:szCs w:val="24"/>
          <w:highlight w:val="none"/>
        </w:rPr>
      </w:pPr>
      <w:r>
        <w:rPr>
          <w:rFonts w:ascii="宋体" w:hAnsi="宋体" w:eastAsia="宋体" w:cs="宋体"/>
          <w:spacing w:val="-1"/>
          <w:sz w:val="24"/>
          <w:szCs w:val="24"/>
          <w:highlight w:val="none"/>
        </w:rPr>
        <w:t>2.3</w:t>
      </w:r>
      <w:r>
        <w:rPr>
          <w:rFonts w:ascii="宋体" w:hAnsi="宋体" w:eastAsia="宋体" w:cs="宋体"/>
          <w:spacing w:val="-36"/>
          <w:sz w:val="24"/>
          <w:szCs w:val="24"/>
          <w:highlight w:val="none"/>
        </w:rPr>
        <w:t xml:space="preserve"> </w:t>
      </w:r>
      <w:r>
        <w:rPr>
          <w:rFonts w:ascii="宋体" w:hAnsi="宋体" w:eastAsia="宋体" w:cs="宋体"/>
          <w:spacing w:val="-1"/>
          <w:sz w:val="24"/>
          <w:szCs w:val="24"/>
          <w:highlight w:val="none"/>
        </w:rPr>
        <w:t>除因不可抗力或竞争性比选文件认可的情形以外，入围供应商不与采购人签订合</w:t>
      </w:r>
      <w:r>
        <w:rPr>
          <w:rFonts w:ascii="宋体" w:hAnsi="宋体" w:eastAsia="宋体" w:cs="宋体"/>
          <w:sz w:val="24"/>
          <w:szCs w:val="24"/>
          <w:highlight w:val="none"/>
        </w:rPr>
        <w:t xml:space="preserve"> </w:t>
      </w:r>
      <w:r>
        <w:rPr>
          <w:rFonts w:ascii="宋体" w:hAnsi="宋体" w:eastAsia="宋体" w:cs="宋体"/>
          <w:spacing w:val="-11"/>
          <w:sz w:val="24"/>
          <w:szCs w:val="24"/>
          <w:highlight w:val="none"/>
        </w:rPr>
        <w:t>同的；</w:t>
      </w:r>
    </w:p>
    <w:p w14:paraId="4C052D2C">
      <w:pPr>
        <w:spacing w:before="113"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2.4</w:t>
      </w:r>
      <w:r>
        <w:rPr>
          <w:rFonts w:ascii="宋体" w:hAnsi="宋体" w:eastAsia="宋体" w:cs="宋体"/>
          <w:spacing w:val="-44"/>
          <w:sz w:val="24"/>
          <w:szCs w:val="24"/>
          <w:highlight w:val="none"/>
        </w:rPr>
        <w:t xml:space="preserve"> </w:t>
      </w:r>
      <w:r>
        <w:rPr>
          <w:rFonts w:ascii="宋体" w:hAnsi="宋体" w:eastAsia="宋体" w:cs="宋体"/>
          <w:spacing w:val="-1"/>
          <w:sz w:val="24"/>
          <w:szCs w:val="24"/>
          <w:highlight w:val="none"/>
        </w:rPr>
        <w:t>供应商与采购人、其他供应商或者采购代理机构恶意串通的；</w:t>
      </w:r>
    </w:p>
    <w:p w14:paraId="6B5AB242">
      <w:pPr>
        <w:spacing w:before="113"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2.5</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入围供应商不按规定的时间或拒绝按成交状态签订合同</w:t>
      </w:r>
    </w:p>
    <w:p w14:paraId="5F1FC795">
      <w:pPr>
        <w:spacing w:before="118" w:line="219"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（五）修正错误</w:t>
      </w:r>
    </w:p>
    <w:p w14:paraId="66D0510A">
      <w:pPr>
        <w:spacing w:before="116" w:line="293" w:lineRule="auto"/>
        <w:ind w:right="133" w:firstLine="497"/>
        <w:rPr>
          <w:rFonts w:ascii="宋体" w:hAnsi="宋体" w:eastAsia="宋体" w:cs="宋体"/>
          <w:sz w:val="24"/>
          <w:szCs w:val="24"/>
          <w:highlight w:val="none"/>
        </w:rPr>
      </w:pPr>
      <w:r>
        <w:rPr>
          <w:rFonts w:ascii="宋体" w:hAnsi="宋体" w:eastAsia="宋体" w:cs="宋体"/>
          <w:spacing w:val="-1"/>
          <w:sz w:val="24"/>
          <w:szCs w:val="24"/>
          <w:highlight w:val="none"/>
        </w:rPr>
        <w:t>1.若供应商所递交的响应文件或最后报价中的价格出现大写金额和小写金额不一致的</w:t>
      </w:r>
      <w:r>
        <w:rPr>
          <w:rFonts w:ascii="宋体" w:hAnsi="宋体" w:eastAsia="宋体" w:cs="宋体"/>
          <w:spacing w:val="9"/>
          <w:sz w:val="24"/>
          <w:szCs w:val="24"/>
          <w:highlight w:val="none"/>
        </w:rPr>
        <w:t xml:space="preserve"> </w:t>
      </w:r>
      <w:r>
        <w:rPr>
          <w:rFonts w:ascii="宋体" w:hAnsi="宋体" w:eastAsia="宋体" w:cs="宋体"/>
          <w:spacing w:val="-1"/>
          <w:sz w:val="24"/>
          <w:szCs w:val="24"/>
          <w:highlight w:val="none"/>
        </w:rPr>
        <w:t>错误，以大写金额修正为准。</w:t>
      </w:r>
    </w:p>
    <w:p w14:paraId="153710DA">
      <w:pPr>
        <w:spacing w:before="38" w:line="298" w:lineRule="auto"/>
        <w:ind w:right="133" w:firstLine="482"/>
        <w:rPr>
          <w:rFonts w:ascii="宋体" w:hAnsi="宋体" w:eastAsia="宋体" w:cs="宋体"/>
          <w:sz w:val="24"/>
          <w:szCs w:val="24"/>
          <w:highlight w:val="none"/>
        </w:rPr>
      </w:pPr>
      <w:r>
        <w:rPr>
          <w:rFonts w:ascii="宋体" w:hAnsi="宋体" w:eastAsia="宋体" w:cs="宋体"/>
          <w:sz w:val="24"/>
          <w:szCs w:val="24"/>
          <w:highlight w:val="none"/>
        </w:rPr>
        <w:t>2.评标委员会按上述修正错误的原则及方法修正供应</w:t>
      </w:r>
      <w:r>
        <w:rPr>
          <w:rFonts w:ascii="宋体" w:hAnsi="宋体" w:eastAsia="宋体" w:cs="宋体"/>
          <w:spacing w:val="-1"/>
          <w:sz w:val="24"/>
          <w:szCs w:val="24"/>
          <w:highlight w:val="none"/>
        </w:rPr>
        <w:t>商的报价，供应商同意并签字确</w:t>
      </w:r>
      <w:r>
        <w:rPr>
          <w:rFonts w:ascii="宋体" w:hAnsi="宋体" w:eastAsia="宋体" w:cs="宋体"/>
          <w:sz w:val="24"/>
          <w:szCs w:val="24"/>
          <w:highlight w:val="none"/>
        </w:rPr>
        <w:t xml:space="preserve"> 认后，修正后的报价对供应商具有约束作用。如果供应商不接受</w:t>
      </w:r>
      <w:r>
        <w:rPr>
          <w:rFonts w:ascii="宋体" w:hAnsi="宋体" w:eastAsia="宋体" w:cs="宋体"/>
          <w:spacing w:val="-1"/>
          <w:sz w:val="24"/>
          <w:szCs w:val="24"/>
          <w:highlight w:val="none"/>
        </w:rPr>
        <w:t>修正后的价格，将失去成</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为入围供应商的资格。</w:t>
      </w:r>
    </w:p>
    <w:p w14:paraId="4F84E9AA">
      <w:pPr>
        <w:spacing w:before="37"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（六）提交响应文件的份数和签署</w:t>
      </w:r>
    </w:p>
    <w:p w14:paraId="546CBB33">
      <w:pPr>
        <w:spacing w:before="115" w:line="301" w:lineRule="auto"/>
        <w:ind w:right="18" w:firstLine="498"/>
        <w:rPr>
          <w:rFonts w:ascii="宋体" w:hAnsi="宋体" w:eastAsia="宋体" w:cs="宋体"/>
          <w:sz w:val="24"/>
          <w:szCs w:val="24"/>
          <w:highlight w:val="none"/>
        </w:rPr>
      </w:pPr>
      <w:r>
        <w:rPr>
          <w:rFonts w:ascii="宋体" w:hAnsi="宋体" w:eastAsia="宋体" w:cs="宋体"/>
          <w:spacing w:val="-6"/>
          <w:sz w:val="24"/>
          <w:szCs w:val="24"/>
          <w:highlight w:val="none"/>
        </w:rPr>
        <w:t>1</w:t>
      </w:r>
      <w:r>
        <w:rPr>
          <w:rFonts w:ascii="宋体" w:hAnsi="宋体" w:eastAsia="宋体" w:cs="宋体"/>
          <w:b/>
          <w:bCs/>
          <w:spacing w:val="-6"/>
          <w:sz w:val="24"/>
          <w:szCs w:val="24"/>
          <w:highlight w:val="none"/>
        </w:rPr>
        <w:t>.若同时参加两个以上分包，每个分包都需要单独制作响应文件，</w:t>
      </w:r>
      <w:r>
        <w:rPr>
          <w:rFonts w:ascii="宋体" w:hAnsi="宋体" w:eastAsia="宋体" w:cs="宋体"/>
          <w:spacing w:val="-6"/>
          <w:sz w:val="24"/>
          <w:szCs w:val="24"/>
          <w:highlight w:val="none"/>
        </w:rPr>
        <w:t>响应文件一式四份，</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其中正本一份，副本二份，电子文档一份（电子文档为正本扫描件</w:t>
      </w:r>
      <w:r>
        <w:rPr>
          <w:rFonts w:ascii="宋体" w:hAnsi="宋体" w:eastAsia="宋体" w:cs="宋体"/>
          <w:spacing w:val="-1"/>
          <w:sz w:val="24"/>
          <w:szCs w:val="24"/>
          <w:highlight w:val="none"/>
        </w:rPr>
        <w:t>内容应与纸质文件正本</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一致，如不一致以纸质文件正本为准。采用U</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盘为电子文档载</w:t>
      </w:r>
      <w:r>
        <w:rPr>
          <w:rFonts w:ascii="宋体" w:hAnsi="宋体" w:eastAsia="宋体" w:cs="宋体"/>
          <w:sz w:val="24"/>
          <w:szCs w:val="24"/>
          <w:highlight w:val="none"/>
        </w:rPr>
        <w:t>体</w:t>
      </w:r>
      <w:r>
        <w:rPr>
          <w:rFonts w:ascii="宋体" w:hAnsi="宋体" w:eastAsia="宋体" w:cs="宋体"/>
          <w:spacing w:val="7"/>
          <w:sz w:val="24"/>
          <w:szCs w:val="24"/>
          <w:highlight w:val="none"/>
        </w:rPr>
        <w:t>）；</w:t>
      </w:r>
      <w:r>
        <w:rPr>
          <w:rFonts w:ascii="宋体" w:hAnsi="宋体" w:eastAsia="宋体" w:cs="宋体"/>
          <w:sz w:val="24"/>
          <w:szCs w:val="24"/>
          <w:highlight w:val="none"/>
        </w:rPr>
        <w:t xml:space="preserve">副本可为正本的复印  </w:t>
      </w:r>
      <w:r>
        <w:rPr>
          <w:rFonts w:ascii="宋体" w:hAnsi="宋体" w:eastAsia="宋体" w:cs="宋体"/>
          <w:spacing w:val="-1"/>
          <w:sz w:val="24"/>
          <w:szCs w:val="24"/>
          <w:highlight w:val="none"/>
        </w:rPr>
        <w:t>件，应与正本一致，如出现不一致情况以正本为准。</w:t>
      </w:r>
    </w:p>
    <w:p w14:paraId="5D33D834">
      <w:pPr>
        <w:spacing w:before="33" w:line="295" w:lineRule="auto"/>
        <w:ind w:right="133" w:firstLine="482"/>
        <w:rPr>
          <w:rFonts w:ascii="宋体" w:hAnsi="宋体" w:eastAsia="宋体" w:cs="宋体"/>
          <w:sz w:val="24"/>
          <w:szCs w:val="24"/>
          <w:highlight w:val="none"/>
        </w:rPr>
      </w:pPr>
      <w:r>
        <w:rPr>
          <w:rFonts w:ascii="宋体" w:hAnsi="宋体" w:eastAsia="宋体" w:cs="宋体"/>
          <w:sz w:val="24"/>
          <w:szCs w:val="24"/>
          <w:highlight w:val="none"/>
        </w:rPr>
        <w:t>2.在响应文件正本中，竞争性比选文件第七篇响应文</w:t>
      </w:r>
      <w:r>
        <w:rPr>
          <w:rFonts w:ascii="宋体" w:hAnsi="宋体" w:eastAsia="宋体" w:cs="宋体"/>
          <w:spacing w:val="-1"/>
          <w:sz w:val="24"/>
          <w:szCs w:val="24"/>
          <w:highlight w:val="none"/>
        </w:rPr>
        <w:t>件编制要求中规定签字、盖章的</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地方必须按其规定签字、盖章。</w:t>
      </w:r>
    </w:p>
    <w:p w14:paraId="66B02BFA">
      <w:pPr>
        <w:spacing w:before="36" w:line="219"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（七）响应文件的递交</w:t>
      </w:r>
    </w:p>
    <w:p w14:paraId="34A26A18">
      <w:pPr>
        <w:spacing w:before="113"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1.响应文件的密封与标记</w:t>
      </w:r>
    </w:p>
    <w:p w14:paraId="4A31CA89">
      <w:pPr>
        <w:spacing w:before="116" w:line="217"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①响应文件的正本、副本以及电子文档均应密封送达开标地点。</w:t>
      </w:r>
    </w:p>
    <w:p w14:paraId="2A3791A3">
      <w:pPr>
        <w:spacing w:before="118" w:line="263" w:lineRule="auto"/>
        <w:ind w:firstLine="478"/>
        <w:rPr>
          <w:rFonts w:ascii="宋体" w:hAnsi="宋体" w:eastAsia="宋体" w:cs="宋体"/>
          <w:sz w:val="24"/>
          <w:szCs w:val="24"/>
          <w:highlight w:val="none"/>
        </w:rPr>
      </w:pPr>
      <w:r>
        <w:rPr>
          <w:rFonts w:ascii="宋体" w:hAnsi="宋体" w:eastAsia="宋体" w:cs="宋体"/>
          <w:sz w:val="24"/>
          <w:szCs w:val="24"/>
          <w:highlight w:val="none"/>
        </w:rPr>
        <w:t>②密封件的外包装上必须注明项目编号（若有）、项目名称、包</w:t>
      </w:r>
      <w:r>
        <w:rPr>
          <w:rFonts w:ascii="宋体" w:hAnsi="宋体" w:eastAsia="宋体" w:cs="宋体"/>
          <w:spacing w:val="-1"/>
          <w:sz w:val="24"/>
          <w:szCs w:val="24"/>
          <w:highlight w:val="none"/>
        </w:rPr>
        <w:t>号（若有）和供应商</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全称，并在封口处加盖供应商公章。未按规定密封的响应文件，对应供应商视为无效响应。</w:t>
      </w:r>
    </w:p>
    <w:p w14:paraId="11366B41">
      <w:pPr>
        <w:spacing w:before="116" w:line="219"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（八）供应商参与人员</w:t>
      </w:r>
    </w:p>
    <w:p w14:paraId="2D0A2F25">
      <w:pPr>
        <w:spacing w:before="116" w:line="293" w:lineRule="auto"/>
        <w:ind w:right="133" w:firstLine="483"/>
        <w:rPr>
          <w:rFonts w:ascii="宋体" w:hAnsi="宋体" w:eastAsia="宋体" w:cs="宋体"/>
          <w:sz w:val="24"/>
          <w:szCs w:val="24"/>
          <w:highlight w:val="none"/>
        </w:rPr>
      </w:pPr>
      <w:r>
        <w:rPr>
          <w:rFonts w:ascii="宋体" w:hAnsi="宋体" w:eastAsia="宋体" w:cs="宋体"/>
          <w:spacing w:val="-2"/>
          <w:sz w:val="24"/>
          <w:szCs w:val="24"/>
          <w:highlight w:val="none"/>
        </w:rPr>
        <w:t>各个供应商应当派</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1-2</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名代表参与投标，至少</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人</w:t>
      </w:r>
      <w:r>
        <w:rPr>
          <w:rFonts w:ascii="宋体" w:hAnsi="宋体" w:eastAsia="宋体" w:cs="宋体"/>
          <w:spacing w:val="-3"/>
          <w:sz w:val="24"/>
          <w:szCs w:val="24"/>
          <w:highlight w:val="none"/>
        </w:rPr>
        <w:t>应为法定代表人或具有法定代表人</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授权委托书的授权代表。</w:t>
      </w:r>
    </w:p>
    <w:p w14:paraId="0A54F24D">
      <w:pPr>
        <w:spacing w:line="293" w:lineRule="auto"/>
        <w:rPr>
          <w:rFonts w:ascii="宋体" w:hAnsi="宋体" w:eastAsia="宋体" w:cs="宋体"/>
          <w:sz w:val="24"/>
          <w:szCs w:val="24"/>
          <w:highlight w:val="none"/>
        </w:rPr>
        <w:sectPr>
          <w:footerReference r:id="rId13" w:type="default"/>
          <w:pgSz w:w="11907" w:h="16840"/>
          <w:pgMar w:top="820" w:right="1110" w:bottom="1201" w:left="1311" w:header="0" w:footer="996" w:gutter="0"/>
          <w:cols w:space="720" w:num="1"/>
        </w:sectPr>
      </w:pPr>
    </w:p>
    <w:p w14:paraId="6E16EEF7">
      <w:pPr>
        <w:spacing w:before="42" w:line="229" w:lineRule="auto"/>
        <w:ind w:left="32"/>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77A616D4">
      <w:pPr>
        <w:spacing w:before="137" w:line="219" w:lineRule="auto"/>
        <w:ind w:left="503"/>
        <w:outlineLvl w:val="2"/>
        <w:rPr>
          <w:rFonts w:ascii="宋体" w:hAnsi="宋体" w:eastAsia="宋体" w:cs="宋体"/>
          <w:sz w:val="24"/>
          <w:szCs w:val="24"/>
          <w:highlight w:val="none"/>
        </w:rPr>
      </w:pPr>
      <w:r>
        <w:rPr>
          <w:rFonts w:ascii="宋体" w:hAnsi="宋体" w:eastAsia="宋体" w:cs="宋体"/>
          <w:spacing w:val="-3"/>
          <w:sz w:val="24"/>
          <w:szCs w:val="24"/>
          <w:highlight w:val="none"/>
        </w:rPr>
        <w:t>四、入围供应商的确认和变更</w:t>
      </w:r>
    </w:p>
    <w:p w14:paraId="6BD04A75">
      <w:pPr>
        <w:spacing w:before="113"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（一）入围供应商的确认</w:t>
      </w:r>
    </w:p>
    <w:p w14:paraId="04CCC035">
      <w:pPr>
        <w:spacing w:before="119" w:line="302" w:lineRule="auto"/>
        <w:ind w:firstLine="480"/>
        <w:rPr>
          <w:rFonts w:ascii="宋体" w:hAnsi="宋体" w:eastAsia="宋体" w:cs="宋体"/>
          <w:sz w:val="24"/>
          <w:szCs w:val="24"/>
          <w:highlight w:val="none"/>
        </w:rPr>
      </w:pPr>
      <w:r>
        <w:rPr>
          <w:rFonts w:ascii="宋体" w:hAnsi="宋体" w:eastAsia="宋体" w:cs="宋体"/>
          <w:spacing w:val="-1"/>
          <w:sz w:val="24"/>
          <w:szCs w:val="24"/>
          <w:highlight w:val="none"/>
        </w:rPr>
        <w:t>采购代理机构应当在评审结束后</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个工作日内将评审报告送采购人确认。采购人应当</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在收到评审报告后</w:t>
      </w:r>
      <w:r>
        <w:rPr>
          <w:rFonts w:ascii="宋体" w:hAnsi="宋体" w:eastAsia="宋体" w:cs="宋体"/>
          <w:spacing w:val="-40"/>
          <w:sz w:val="24"/>
          <w:szCs w:val="24"/>
          <w:highlight w:val="none"/>
        </w:rPr>
        <w:t xml:space="preserve"> </w:t>
      </w:r>
      <w:r>
        <w:rPr>
          <w:rFonts w:ascii="宋体" w:hAnsi="宋体" w:eastAsia="宋体" w:cs="宋体"/>
          <w:spacing w:val="-1"/>
          <w:sz w:val="24"/>
          <w:szCs w:val="24"/>
          <w:highlight w:val="none"/>
        </w:rPr>
        <w:t>5</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个工作日内，从评审报告提出的成交候选供应商中，按照排序由高到</w:t>
      </w:r>
      <w:r>
        <w:rPr>
          <w:rFonts w:ascii="宋体" w:hAnsi="宋体" w:eastAsia="宋体" w:cs="宋体"/>
          <w:sz w:val="24"/>
          <w:szCs w:val="24"/>
          <w:highlight w:val="none"/>
        </w:rPr>
        <w:t xml:space="preserve"> 低的原则确定入围供应商，也可以书面授权评标委员会直接确定入</w:t>
      </w:r>
      <w:r>
        <w:rPr>
          <w:rFonts w:ascii="宋体" w:hAnsi="宋体" w:eastAsia="宋体" w:cs="宋体"/>
          <w:spacing w:val="-1"/>
          <w:sz w:val="24"/>
          <w:szCs w:val="24"/>
          <w:highlight w:val="none"/>
        </w:rPr>
        <w:t>围供应商。采购人逾期</w:t>
      </w:r>
      <w:r>
        <w:rPr>
          <w:rFonts w:ascii="宋体" w:hAnsi="宋体" w:eastAsia="宋体" w:cs="宋体"/>
          <w:sz w:val="24"/>
          <w:szCs w:val="24"/>
          <w:highlight w:val="none"/>
        </w:rPr>
        <w:t xml:space="preserve"> 未确定入围供应商且不提出异议的，视为确定评审报告提出的按评</w:t>
      </w:r>
      <w:r>
        <w:rPr>
          <w:rFonts w:ascii="宋体" w:hAnsi="宋体" w:eastAsia="宋体" w:cs="宋体"/>
          <w:spacing w:val="-1"/>
          <w:sz w:val="24"/>
          <w:szCs w:val="24"/>
          <w:highlight w:val="none"/>
        </w:rPr>
        <w:t>审后得分由高到低的排</w:t>
      </w:r>
      <w:r>
        <w:rPr>
          <w:rFonts w:ascii="宋体" w:hAnsi="宋体" w:eastAsia="宋体" w:cs="宋体"/>
          <w:sz w:val="24"/>
          <w:szCs w:val="24"/>
          <w:highlight w:val="none"/>
        </w:rPr>
        <w:t xml:space="preserve"> 列顺序推荐排名在每个包需要入围的家数以内的</w:t>
      </w:r>
      <w:r>
        <w:rPr>
          <w:rFonts w:ascii="宋体" w:hAnsi="宋体" w:eastAsia="宋体" w:cs="宋体"/>
          <w:spacing w:val="-1"/>
          <w:sz w:val="24"/>
          <w:szCs w:val="24"/>
          <w:highlight w:val="none"/>
        </w:rPr>
        <w:t>供应商为入围供应商。</w:t>
      </w:r>
    </w:p>
    <w:p w14:paraId="343A8FF6">
      <w:pPr>
        <w:spacing w:before="33"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（二）入围供应商的变更</w:t>
      </w:r>
    </w:p>
    <w:p w14:paraId="1233F346">
      <w:pPr>
        <w:spacing w:before="116" w:line="295" w:lineRule="auto"/>
        <w:ind w:left="5" w:firstLine="474"/>
        <w:rPr>
          <w:rFonts w:ascii="宋体" w:hAnsi="宋体" w:eastAsia="宋体" w:cs="宋体"/>
          <w:sz w:val="24"/>
          <w:szCs w:val="24"/>
          <w:highlight w:val="none"/>
        </w:rPr>
      </w:pPr>
      <w:r>
        <w:rPr>
          <w:rFonts w:ascii="宋体" w:hAnsi="宋体" w:eastAsia="宋体" w:cs="宋体"/>
          <w:sz w:val="24"/>
          <w:szCs w:val="24"/>
          <w:highlight w:val="none"/>
        </w:rPr>
        <w:t>入围供应商拒绝与采购人签订合同的，采购人可以按照评标报</w:t>
      </w:r>
      <w:r>
        <w:rPr>
          <w:rFonts w:ascii="宋体" w:hAnsi="宋体" w:eastAsia="宋体" w:cs="宋体"/>
          <w:spacing w:val="-1"/>
          <w:sz w:val="24"/>
          <w:szCs w:val="24"/>
          <w:highlight w:val="none"/>
        </w:rPr>
        <w:t>告推荐的成交候选供应</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商顺序，确定排名下一位的候选人为入围供应商，也可以重新开展采购活动。</w:t>
      </w:r>
    </w:p>
    <w:p w14:paraId="2E8C9828">
      <w:pPr>
        <w:spacing w:before="32" w:line="221" w:lineRule="auto"/>
        <w:ind w:left="484"/>
        <w:outlineLvl w:val="1"/>
        <w:rPr>
          <w:rFonts w:ascii="宋体" w:hAnsi="宋体" w:eastAsia="宋体" w:cs="宋体"/>
          <w:sz w:val="24"/>
          <w:szCs w:val="24"/>
          <w:highlight w:val="none"/>
        </w:rPr>
      </w:pPr>
      <w:bookmarkStart w:id="51" w:name="bookmark40"/>
      <w:bookmarkEnd w:id="51"/>
      <w:r>
        <w:rPr>
          <w:rFonts w:ascii="宋体" w:hAnsi="宋体" w:eastAsia="宋体" w:cs="宋体"/>
          <w:spacing w:val="-3"/>
          <w:sz w:val="24"/>
          <w:szCs w:val="24"/>
          <w:highlight w:val="none"/>
        </w:rPr>
        <w:t>五、成交通知</w:t>
      </w:r>
    </w:p>
    <w:p w14:paraId="1B822FEA">
      <w:pPr>
        <w:spacing w:before="114" w:line="218"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（一）入围供应商确定后，将发布成交结果公告。</w:t>
      </w:r>
    </w:p>
    <w:p w14:paraId="442E9D46">
      <w:pPr>
        <w:spacing w:before="117" w:line="218"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（二）结果公告发出后，采购代理机构将以书面形式发出《成交通知书》。</w:t>
      </w:r>
    </w:p>
    <w:p w14:paraId="31447A0B">
      <w:pPr>
        <w:spacing w:before="115"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（三）《成交通知书》将作为签订合同的依据。</w:t>
      </w:r>
    </w:p>
    <w:p w14:paraId="47D90009">
      <w:pPr>
        <w:spacing w:before="117" w:line="220" w:lineRule="auto"/>
        <w:ind w:left="482"/>
        <w:outlineLvl w:val="1"/>
        <w:rPr>
          <w:rFonts w:ascii="宋体" w:hAnsi="宋体" w:eastAsia="宋体" w:cs="宋体"/>
          <w:sz w:val="24"/>
          <w:szCs w:val="24"/>
          <w:highlight w:val="none"/>
        </w:rPr>
      </w:pPr>
      <w:bookmarkStart w:id="52" w:name="bookmark42"/>
      <w:bookmarkEnd w:id="52"/>
      <w:r>
        <w:rPr>
          <w:rFonts w:ascii="宋体" w:hAnsi="宋体" w:eastAsia="宋体" w:cs="宋体"/>
          <w:spacing w:val="-2"/>
          <w:sz w:val="24"/>
          <w:szCs w:val="24"/>
          <w:highlight w:val="none"/>
        </w:rPr>
        <w:t>六、关于质疑和投诉</w:t>
      </w:r>
    </w:p>
    <w:p w14:paraId="48171CAD">
      <w:pPr>
        <w:spacing w:before="115" w:line="220" w:lineRule="auto"/>
        <w:ind w:left="492"/>
        <w:rPr>
          <w:rFonts w:ascii="宋体" w:hAnsi="宋体" w:eastAsia="宋体" w:cs="宋体"/>
          <w:sz w:val="24"/>
          <w:szCs w:val="24"/>
          <w:highlight w:val="none"/>
        </w:rPr>
      </w:pPr>
      <w:r>
        <w:rPr>
          <w:rFonts w:ascii="宋体" w:hAnsi="宋体" w:eastAsia="宋体" w:cs="宋体"/>
          <w:spacing w:val="-3"/>
          <w:sz w:val="24"/>
          <w:szCs w:val="24"/>
          <w:highlight w:val="none"/>
        </w:rPr>
        <w:t>（一）质疑和投诉</w:t>
      </w:r>
    </w:p>
    <w:p w14:paraId="540E89B4">
      <w:pPr>
        <w:spacing w:before="111" w:line="295" w:lineRule="auto"/>
        <w:ind w:firstLine="480"/>
        <w:rPr>
          <w:rFonts w:ascii="宋体" w:hAnsi="宋体" w:eastAsia="宋体" w:cs="宋体"/>
          <w:sz w:val="24"/>
          <w:szCs w:val="24"/>
          <w:highlight w:val="none"/>
        </w:rPr>
      </w:pPr>
      <w:r>
        <w:rPr>
          <w:rFonts w:ascii="宋体" w:hAnsi="宋体" w:eastAsia="宋体" w:cs="宋体"/>
          <w:sz w:val="24"/>
          <w:szCs w:val="24"/>
          <w:highlight w:val="none"/>
        </w:rPr>
        <w:t>供应商认为采购文件、采购过程和成交结果使自己的权益收</w:t>
      </w:r>
      <w:r>
        <w:rPr>
          <w:rFonts w:ascii="宋体" w:hAnsi="宋体" w:eastAsia="宋体" w:cs="宋体"/>
          <w:spacing w:val="-1"/>
          <w:sz w:val="24"/>
          <w:szCs w:val="24"/>
          <w:highlight w:val="none"/>
        </w:rPr>
        <w:t>到伤害的，可向采购人或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采购代理机构以书面形式提出质疑。</w:t>
      </w:r>
    </w:p>
    <w:p w14:paraId="262008F1">
      <w:pPr>
        <w:spacing w:before="36" w:line="293" w:lineRule="auto"/>
        <w:ind w:left="497" w:right="3159" w:hanging="16"/>
        <w:rPr>
          <w:rFonts w:ascii="宋体" w:hAnsi="宋体" w:eastAsia="宋体" w:cs="宋体"/>
          <w:sz w:val="24"/>
          <w:szCs w:val="24"/>
          <w:highlight w:val="none"/>
        </w:rPr>
      </w:pPr>
      <w:r>
        <w:rPr>
          <w:rFonts w:ascii="宋体" w:hAnsi="宋体" w:eastAsia="宋体" w:cs="宋体"/>
          <w:spacing w:val="-2"/>
          <w:sz w:val="24"/>
          <w:szCs w:val="24"/>
          <w:highlight w:val="none"/>
        </w:rPr>
        <w:t>提出质疑的应当是参与所质疑项目采购活动的</w:t>
      </w:r>
      <w:r>
        <w:rPr>
          <w:rFonts w:ascii="宋体" w:hAnsi="宋体" w:eastAsia="宋体" w:cs="宋体"/>
          <w:spacing w:val="-3"/>
          <w:sz w:val="24"/>
          <w:szCs w:val="24"/>
          <w:highlight w:val="none"/>
        </w:rPr>
        <w:t>供应商。</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1.质疑时限、内容</w:t>
      </w:r>
    </w:p>
    <w:p w14:paraId="5FB08D57">
      <w:pPr>
        <w:spacing w:before="36" w:line="299" w:lineRule="auto"/>
        <w:ind w:left="2" w:firstLine="478"/>
        <w:jc w:val="both"/>
        <w:rPr>
          <w:rFonts w:ascii="宋体" w:hAnsi="宋体" w:eastAsia="宋体" w:cs="宋体"/>
          <w:sz w:val="24"/>
          <w:szCs w:val="24"/>
          <w:highlight w:val="none"/>
        </w:rPr>
      </w:pPr>
      <w:r>
        <w:rPr>
          <w:rFonts w:ascii="宋体" w:hAnsi="宋体" w:eastAsia="宋体" w:cs="宋体"/>
          <w:sz w:val="24"/>
          <w:szCs w:val="24"/>
          <w:highlight w:val="none"/>
        </w:rPr>
        <w:t>供应商认为采购文件、采购过程、成交结果使自己的权益受</w:t>
      </w:r>
      <w:r>
        <w:rPr>
          <w:rFonts w:ascii="宋体" w:hAnsi="宋体" w:eastAsia="宋体" w:cs="宋体"/>
          <w:spacing w:val="-1"/>
          <w:sz w:val="24"/>
          <w:szCs w:val="24"/>
          <w:highlight w:val="none"/>
        </w:rPr>
        <w:t>到损害的，可以在知道或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者应知其权益受到损害之日起</w:t>
      </w:r>
      <w:r>
        <w:rPr>
          <w:rFonts w:ascii="宋体" w:hAnsi="宋体" w:eastAsia="宋体" w:cs="宋体"/>
          <w:spacing w:val="-43"/>
          <w:sz w:val="24"/>
          <w:szCs w:val="24"/>
          <w:highlight w:val="none"/>
        </w:rPr>
        <w:t xml:space="preserve"> </w:t>
      </w:r>
      <w:r>
        <w:rPr>
          <w:rFonts w:ascii="宋体" w:hAnsi="宋体" w:eastAsia="宋体" w:cs="宋体"/>
          <w:spacing w:val="-1"/>
          <w:sz w:val="24"/>
          <w:szCs w:val="24"/>
          <w:highlight w:val="none"/>
        </w:rPr>
        <w:t>7</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个工作日内，以书面形式向采购人、采购代理机构提出质</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疑。</w:t>
      </w:r>
    </w:p>
    <w:p w14:paraId="62669061">
      <w:pPr>
        <w:spacing w:before="34"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1.2</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供应商提出质疑应当提交质疑函和必要的证明材料，质疑函应当包括下列内容：</w:t>
      </w:r>
    </w:p>
    <w:p w14:paraId="5804A0FE">
      <w:pPr>
        <w:spacing w:before="116"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1.2.1</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供应商的姓名或者名称、地址、邮编、联系</w:t>
      </w:r>
      <w:r>
        <w:rPr>
          <w:rFonts w:ascii="宋体" w:hAnsi="宋体" w:eastAsia="宋体" w:cs="宋体"/>
          <w:spacing w:val="-2"/>
          <w:sz w:val="24"/>
          <w:szCs w:val="24"/>
          <w:highlight w:val="none"/>
        </w:rPr>
        <w:t>人及联系电话；</w:t>
      </w:r>
    </w:p>
    <w:p w14:paraId="68F9E18C">
      <w:pPr>
        <w:spacing w:before="115"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1.2.2</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质疑项目的名称、项目号以及项目编号；</w:t>
      </w:r>
    </w:p>
    <w:p w14:paraId="4E1763F9">
      <w:pPr>
        <w:spacing w:before="116"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1.2.3</w:t>
      </w:r>
      <w:r>
        <w:rPr>
          <w:rFonts w:ascii="宋体" w:hAnsi="宋体" w:eastAsia="宋体" w:cs="宋体"/>
          <w:spacing w:val="-35"/>
          <w:sz w:val="24"/>
          <w:szCs w:val="24"/>
          <w:highlight w:val="none"/>
        </w:rPr>
        <w:t xml:space="preserve"> </w:t>
      </w:r>
      <w:r>
        <w:rPr>
          <w:rFonts w:ascii="宋体" w:hAnsi="宋体" w:eastAsia="宋体" w:cs="宋体"/>
          <w:spacing w:val="-2"/>
          <w:sz w:val="24"/>
          <w:szCs w:val="24"/>
          <w:highlight w:val="none"/>
        </w:rPr>
        <w:t>具体、明确的质疑事项和与质疑事项相关的请求；</w:t>
      </w:r>
    </w:p>
    <w:p w14:paraId="244CAD07">
      <w:pPr>
        <w:spacing w:before="115"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1.2.4</w:t>
      </w:r>
      <w:r>
        <w:rPr>
          <w:rFonts w:ascii="宋体" w:hAnsi="宋体" w:eastAsia="宋体" w:cs="宋体"/>
          <w:spacing w:val="-49"/>
          <w:sz w:val="24"/>
          <w:szCs w:val="24"/>
          <w:highlight w:val="none"/>
        </w:rPr>
        <w:t xml:space="preserve"> </w:t>
      </w:r>
      <w:r>
        <w:rPr>
          <w:rFonts w:ascii="宋体" w:hAnsi="宋体" w:eastAsia="宋体" w:cs="宋体"/>
          <w:spacing w:val="-4"/>
          <w:sz w:val="24"/>
          <w:szCs w:val="24"/>
          <w:highlight w:val="none"/>
        </w:rPr>
        <w:t>事实依据；</w:t>
      </w:r>
    </w:p>
    <w:p w14:paraId="5DF65734">
      <w:pPr>
        <w:spacing w:before="114"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1.2.5</w:t>
      </w:r>
      <w:r>
        <w:rPr>
          <w:rFonts w:ascii="宋体" w:hAnsi="宋体" w:eastAsia="宋体" w:cs="宋体"/>
          <w:spacing w:val="-37"/>
          <w:sz w:val="24"/>
          <w:szCs w:val="24"/>
          <w:highlight w:val="none"/>
        </w:rPr>
        <w:t xml:space="preserve"> </w:t>
      </w:r>
      <w:r>
        <w:rPr>
          <w:rFonts w:ascii="宋体" w:hAnsi="宋体" w:eastAsia="宋体" w:cs="宋体"/>
          <w:spacing w:val="-4"/>
          <w:sz w:val="24"/>
          <w:szCs w:val="24"/>
          <w:highlight w:val="none"/>
        </w:rPr>
        <w:t>必要的法律依据；</w:t>
      </w:r>
    </w:p>
    <w:p w14:paraId="6D58AF60">
      <w:pPr>
        <w:spacing w:before="117" w:line="220"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1.2.6</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提出质疑的日期；</w:t>
      </w:r>
    </w:p>
    <w:p w14:paraId="6349A57C">
      <w:pPr>
        <w:spacing w:before="114" w:line="263" w:lineRule="auto"/>
        <w:ind w:right="60" w:firstLine="497"/>
        <w:rPr>
          <w:rFonts w:ascii="宋体" w:hAnsi="宋体" w:eastAsia="宋体" w:cs="宋体"/>
          <w:sz w:val="24"/>
          <w:szCs w:val="24"/>
          <w:highlight w:val="none"/>
        </w:rPr>
      </w:pPr>
      <w:r>
        <w:rPr>
          <w:rFonts w:ascii="宋体" w:hAnsi="宋体" w:eastAsia="宋体" w:cs="宋体"/>
          <w:spacing w:val="-1"/>
          <w:sz w:val="24"/>
          <w:szCs w:val="24"/>
          <w:highlight w:val="none"/>
        </w:rPr>
        <w:t>1.2.7</w:t>
      </w:r>
      <w:r>
        <w:rPr>
          <w:rFonts w:ascii="宋体" w:hAnsi="宋体" w:eastAsia="宋体" w:cs="宋体"/>
          <w:spacing w:val="-44"/>
          <w:sz w:val="24"/>
          <w:szCs w:val="24"/>
          <w:highlight w:val="none"/>
        </w:rPr>
        <w:t xml:space="preserve"> </w:t>
      </w:r>
      <w:r>
        <w:rPr>
          <w:rFonts w:ascii="宋体" w:hAnsi="宋体" w:eastAsia="宋体" w:cs="宋体"/>
          <w:spacing w:val="-1"/>
          <w:sz w:val="24"/>
          <w:szCs w:val="24"/>
          <w:highlight w:val="none"/>
        </w:rPr>
        <w:t>营业执照（或事业单位法人证书，或个体工商户营业执照或有效</w:t>
      </w:r>
      <w:r>
        <w:rPr>
          <w:rFonts w:ascii="宋体" w:hAnsi="宋体" w:eastAsia="宋体" w:cs="宋体"/>
          <w:spacing w:val="-2"/>
          <w:sz w:val="24"/>
          <w:szCs w:val="24"/>
          <w:highlight w:val="none"/>
        </w:rPr>
        <w:t>的自然人身份</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证明）复印件；</w:t>
      </w:r>
    </w:p>
    <w:p w14:paraId="015E3212">
      <w:pPr>
        <w:spacing w:before="117" w:line="263" w:lineRule="auto"/>
        <w:ind w:left="7" w:right="60" w:firstLine="491"/>
        <w:rPr>
          <w:rFonts w:ascii="宋体" w:hAnsi="宋体" w:eastAsia="宋体" w:cs="宋体"/>
          <w:sz w:val="24"/>
          <w:szCs w:val="24"/>
          <w:highlight w:val="none"/>
        </w:rPr>
      </w:pPr>
      <w:r>
        <w:rPr>
          <w:rFonts w:ascii="宋体" w:hAnsi="宋体" w:eastAsia="宋体" w:cs="宋体"/>
          <w:spacing w:val="-1"/>
          <w:sz w:val="24"/>
          <w:szCs w:val="24"/>
          <w:highlight w:val="none"/>
        </w:rPr>
        <w:t>1.2.8</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法定代表人授权委托书原件、法定代表人身份证复印件和其授权代表的身份证</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复印件（供应商为自然人的提供自然人身份证复印件</w:t>
      </w:r>
      <w:r>
        <w:rPr>
          <w:rFonts w:ascii="宋体" w:hAnsi="宋体" w:eastAsia="宋体" w:cs="宋体"/>
          <w:spacing w:val="3"/>
          <w:sz w:val="24"/>
          <w:szCs w:val="24"/>
          <w:highlight w:val="none"/>
        </w:rPr>
        <w:t>）；</w:t>
      </w:r>
    </w:p>
    <w:p w14:paraId="4C855ACE">
      <w:pPr>
        <w:spacing w:before="115" w:line="263" w:lineRule="auto"/>
        <w:ind w:left="3" w:right="60" w:firstLine="494"/>
        <w:rPr>
          <w:rFonts w:ascii="宋体" w:hAnsi="宋体" w:eastAsia="宋体" w:cs="宋体"/>
          <w:sz w:val="24"/>
          <w:szCs w:val="24"/>
          <w:highlight w:val="none"/>
        </w:rPr>
      </w:pPr>
      <w:r>
        <w:rPr>
          <w:rFonts w:ascii="宋体" w:hAnsi="宋体" w:eastAsia="宋体" w:cs="宋体"/>
          <w:spacing w:val="-1"/>
          <w:sz w:val="24"/>
          <w:szCs w:val="24"/>
          <w:highlight w:val="none"/>
        </w:rPr>
        <w:t>1.3</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供应商为自然人的，质疑函应当由本人签字；供应商为法人或者其他组织的，质</w:t>
      </w:r>
      <w:r>
        <w:rPr>
          <w:rFonts w:ascii="宋体" w:hAnsi="宋体" w:eastAsia="宋体" w:cs="宋体"/>
          <w:sz w:val="24"/>
          <w:szCs w:val="24"/>
          <w:highlight w:val="none"/>
        </w:rPr>
        <w:t xml:space="preserve"> 疑函应当由法定代表人、主要负责人，或者其授权代</w:t>
      </w:r>
      <w:r>
        <w:rPr>
          <w:rFonts w:ascii="宋体" w:hAnsi="宋体" w:eastAsia="宋体" w:cs="宋体"/>
          <w:spacing w:val="-1"/>
          <w:sz w:val="24"/>
          <w:szCs w:val="24"/>
          <w:highlight w:val="none"/>
        </w:rPr>
        <w:t>表签字或者盖章，并加盖公章。</w:t>
      </w:r>
    </w:p>
    <w:p w14:paraId="5664A7F5">
      <w:pPr>
        <w:spacing w:line="263" w:lineRule="auto"/>
        <w:rPr>
          <w:rFonts w:ascii="宋体" w:hAnsi="宋体" w:eastAsia="宋体" w:cs="宋体"/>
          <w:sz w:val="24"/>
          <w:szCs w:val="24"/>
          <w:highlight w:val="none"/>
        </w:rPr>
        <w:sectPr>
          <w:footerReference r:id="rId14" w:type="default"/>
          <w:pgSz w:w="11907" w:h="16840"/>
          <w:pgMar w:top="820" w:right="1243" w:bottom="1200" w:left="1311" w:header="0" w:footer="996" w:gutter="0"/>
          <w:cols w:space="720" w:num="1"/>
        </w:sectPr>
      </w:pPr>
    </w:p>
    <w:p w14:paraId="26D48D43">
      <w:pPr>
        <w:spacing w:before="42" w:line="229" w:lineRule="auto"/>
        <w:ind w:left="32"/>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1AE4544C">
      <w:pPr>
        <w:spacing w:before="138" w:line="220" w:lineRule="auto"/>
        <w:ind w:left="483"/>
        <w:rPr>
          <w:rFonts w:ascii="宋体" w:hAnsi="宋体" w:eastAsia="宋体" w:cs="宋体"/>
          <w:sz w:val="24"/>
          <w:szCs w:val="24"/>
          <w:highlight w:val="none"/>
        </w:rPr>
      </w:pPr>
      <w:r>
        <w:rPr>
          <w:rFonts w:ascii="宋体" w:hAnsi="宋体" w:eastAsia="宋体" w:cs="宋体"/>
          <w:spacing w:val="-3"/>
          <w:sz w:val="24"/>
          <w:szCs w:val="24"/>
          <w:highlight w:val="none"/>
        </w:rPr>
        <w:t>2.质疑答复</w:t>
      </w:r>
    </w:p>
    <w:p w14:paraId="3EAAF44A">
      <w:pPr>
        <w:spacing w:before="111" w:line="295" w:lineRule="auto"/>
        <w:ind w:left="5" w:right="52" w:firstLine="474"/>
        <w:rPr>
          <w:rFonts w:ascii="宋体" w:hAnsi="宋体" w:eastAsia="宋体" w:cs="宋体"/>
          <w:sz w:val="24"/>
          <w:szCs w:val="24"/>
          <w:highlight w:val="none"/>
        </w:rPr>
      </w:pPr>
      <w:r>
        <w:rPr>
          <w:rFonts w:ascii="宋体" w:hAnsi="宋体" w:eastAsia="宋体" w:cs="宋体"/>
          <w:sz w:val="24"/>
          <w:szCs w:val="24"/>
          <w:highlight w:val="none"/>
        </w:rPr>
        <w:t>采购人、采购代理机构应当在收到供应商的书面质疑后七个工</w:t>
      </w:r>
      <w:r>
        <w:rPr>
          <w:rFonts w:ascii="宋体" w:hAnsi="宋体" w:eastAsia="宋体" w:cs="宋体"/>
          <w:spacing w:val="-1"/>
          <w:sz w:val="24"/>
          <w:szCs w:val="24"/>
          <w:highlight w:val="none"/>
        </w:rPr>
        <w:t>作日内作出答复，并以</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书面形式通知质疑供应商和其他有关供应商。</w:t>
      </w:r>
    </w:p>
    <w:p w14:paraId="6DD08D18">
      <w:pPr>
        <w:spacing w:before="34" w:line="219" w:lineRule="auto"/>
        <w:ind w:left="480"/>
        <w:outlineLvl w:val="1"/>
        <w:rPr>
          <w:rFonts w:ascii="宋体" w:hAnsi="宋体" w:eastAsia="宋体" w:cs="宋体"/>
          <w:sz w:val="24"/>
          <w:szCs w:val="24"/>
          <w:highlight w:val="none"/>
        </w:rPr>
      </w:pPr>
      <w:bookmarkStart w:id="53" w:name="bookmark44"/>
      <w:bookmarkEnd w:id="53"/>
      <w:r>
        <w:rPr>
          <w:rFonts w:ascii="宋体" w:hAnsi="宋体" w:eastAsia="宋体" w:cs="宋体"/>
          <w:spacing w:val="-1"/>
          <w:sz w:val="24"/>
          <w:szCs w:val="24"/>
          <w:highlight w:val="none"/>
        </w:rPr>
        <w:t>七、采购代理服务费</w:t>
      </w:r>
    </w:p>
    <w:p w14:paraId="1B1BB228">
      <w:pPr>
        <w:spacing w:before="116" w:line="299" w:lineRule="auto"/>
        <w:ind w:firstLine="480"/>
        <w:jc w:val="both"/>
        <w:rPr>
          <w:rFonts w:ascii="宋体" w:hAnsi="宋体" w:eastAsia="宋体" w:cs="宋体"/>
          <w:sz w:val="24"/>
          <w:szCs w:val="24"/>
          <w:highlight w:val="none"/>
        </w:rPr>
      </w:pPr>
      <w:r>
        <w:rPr>
          <w:rFonts w:ascii="宋体" w:hAnsi="宋体" w:eastAsia="宋体" w:cs="宋体"/>
          <w:spacing w:val="-1"/>
          <w:sz w:val="24"/>
          <w:szCs w:val="24"/>
          <w:highlight w:val="none"/>
        </w:rPr>
        <w:t>本项目采购代理服务费为包</w:t>
      </w:r>
      <w:r>
        <w:rPr>
          <w:rFonts w:hint="eastAsia" w:ascii="宋体" w:hAnsi="宋体" w:eastAsia="宋体" w:cs="宋体"/>
          <w:spacing w:val="-1"/>
          <w:sz w:val="24"/>
          <w:szCs w:val="24"/>
          <w:highlight w:val="none"/>
          <w:lang w:val="en-US" w:eastAsia="zh-CN"/>
        </w:rPr>
        <w:t>二</w:t>
      </w:r>
      <w:r>
        <w:rPr>
          <w:rFonts w:ascii="宋体" w:hAnsi="宋体" w:eastAsia="宋体" w:cs="宋体"/>
          <w:spacing w:val="-1"/>
          <w:sz w:val="24"/>
          <w:szCs w:val="24"/>
          <w:highlight w:val="none"/>
        </w:rPr>
        <w:t>：2000</w:t>
      </w:r>
      <w:r>
        <w:rPr>
          <w:rFonts w:ascii="宋体" w:hAnsi="宋体" w:eastAsia="宋体" w:cs="宋体"/>
          <w:spacing w:val="-34"/>
          <w:sz w:val="24"/>
          <w:szCs w:val="24"/>
          <w:highlight w:val="none"/>
        </w:rPr>
        <w:t xml:space="preserve"> </w:t>
      </w:r>
      <w:r>
        <w:rPr>
          <w:rFonts w:ascii="宋体" w:hAnsi="宋体" w:eastAsia="宋体" w:cs="宋体"/>
          <w:spacing w:val="-1"/>
          <w:sz w:val="24"/>
          <w:szCs w:val="24"/>
          <w:highlight w:val="none"/>
        </w:rPr>
        <w:t>元由每</w:t>
      </w:r>
      <w:r>
        <w:rPr>
          <w:rFonts w:ascii="宋体" w:hAnsi="宋体" w:eastAsia="宋体" w:cs="宋体"/>
          <w:sz w:val="24"/>
          <w:szCs w:val="24"/>
          <w:highlight w:val="none"/>
        </w:rPr>
        <w:t xml:space="preserve"> 个分包入围供应商均摊缴纳，入围供应商在领取成交通知书前一</w:t>
      </w:r>
      <w:r>
        <w:rPr>
          <w:rFonts w:ascii="宋体" w:hAnsi="宋体" w:eastAsia="宋体" w:cs="宋体"/>
          <w:spacing w:val="-1"/>
          <w:sz w:val="24"/>
          <w:szCs w:val="24"/>
          <w:highlight w:val="none"/>
        </w:rPr>
        <w:t>次性向中科高盛咨询集团</w:t>
      </w:r>
      <w:r>
        <w:rPr>
          <w:rFonts w:ascii="宋体" w:hAnsi="宋体" w:eastAsia="宋体" w:cs="宋体"/>
          <w:sz w:val="24"/>
          <w:szCs w:val="24"/>
          <w:highlight w:val="none"/>
        </w:rPr>
        <w:t xml:space="preserve"> </w:t>
      </w:r>
      <w:bookmarkStart w:id="54" w:name="bookmark46"/>
      <w:bookmarkEnd w:id="54"/>
      <w:r>
        <w:rPr>
          <w:rFonts w:ascii="宋体" w:hAnsi="宋体" w:eastAsia="宋体" w:cs="宋体"/>
          <w:spacing w:val="-1"/>
          <w:sz w:val="24"/>
          <w:szCs w:val="24"/>
          <w:highlight w:val="none"/>
        </w:rPr>
        <w:t>有限公司重庆分公司缴纳。</w:t>
      </w:r>
    </w:p>
    <w:p w14:paraId="4DC8D02F">
      <w:pPr>
        <w:spacing w:before="32" w:line="220" w:lineRule="auto"/>
        <w:ind w:left="484"/>
        <w:outlineLvl w:val="1"/>
        <w:rPr>
          <w:rFonts w:ascii="宋体" w:hAnsi="宋体" w:eastAsia="宋体" w:cs="宋体"/>
          <w:sz w:val="24"/>
          <w:szCs w:val="24"/>
          <w:highlight w:val="none"/>
        </w:rPr>
      </w:pPr>
      <w:r>
        <w:rPr>
          <w:rFonts w:ascii="宋体" w:hAnsi="宋体" w:eastAsia="宋体" w:cs="宋体"/>
          <w:spacing w:val="-3"/>
          <w:sz w:val="24"/>
          <w:szCs w:val="24"/>
          <w:highlight w:val="none"/>
        </w:rPr>
        <w:t>八、签订合同</w:t>
      </w:r>
    </w:p>
    <w:p w14:paraId="79824B9C">
      <w:pPr>
        <w:spacing w:before="114" w:line="278" w:lineRule="auto"/>
        <w:ind w:right="52" w:firstLine="492"/>
        <w:rPr>
          <w:rFonts w:ascii="宋体" w:hAnsi="宋体" w:eastAsia="宋体" w:cs="宋体"/>
          <w:sz w:val="24"/>
          <w:szCs w:val="24"/>
          <w:highlight w:val="none"/>
        </w:rPr>
      </w:pPr>
      <w:r>
        <w:rPr>
          <w:rFonts w:ascii="宋体" w:hAnsi="宋体" w:eastAsia="宋体" w:cs="宋体"/>
          <w:spacing w:val="-1"/>
          <w:sz w:val="24"/>
          <w:szCs w:val="24"/>
          <w:highlight w:val="none"/>
        </w:rPr>
        <w:t>（一）采购人应当自成交（入围）通知书发出之日起十日内，按照竞争性比选文件和</w:t>
      </w:r>
      <w:r>
        <w:rPr>
          <w:rFonts w:ascii="宋体" w:hAnsi="宋体" w:eastAsia="宋体" w:cs="宋体"/>
          <w:spacing w:val="15"/>
          <w:sz w:val="24"/>
          <w:szCs w:val="24"/>
          <w:highlight w:val="none"/>
        </w:rPr>
        <w:t xml:space="preserve"> </w:t>
      </w:r>
      <w:r>
        <w:rPr>
          <w:rFonts w:ascii="宋体" w:hAnsi="宋体" w:eastAsia="宋体" w:cs="宋体"/>
          <w:sz w:val="24"/>
          <w:szCs w:val="24"/>
          <w:highlight w:val="none"/>
        </w:rPr>
        <w:t>入围供应商响应文件的约定，与入围供应商签订书面合同。所签订</w:t>
      </w:r>
      <w:r>
        <w:rPr>
          <w:rFonts w:ascii="宋体" w:hAnsi="宋体" w:eastAsia="宋体" w:cs="宋体"/>
          <w:spacing w:val="-1"/>
          <w:sz w:val="24"/>
          <w:szCs w:val="24"/>
          <w:highlight w:val="none"/>
        </w:rPr>
        <w:t>的合同不得对竞争性比</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选文件和入围供应商响应文件作实质性修改。</w:t>
      </w:r>
    </w:p>
    <w:p w14:paraId="150B8CE0">
      <w:pPr>
        <w:spacing w:before="118" w:line="263" w:lineRule="auto"/>
        <w:ind w:left="2" w:right="52" w:firstLine="489"/>
        <w:rPr>
          <w:rFonts w:ascii="宋体" w:hAnsi="宋体" w:eastAsia="宋体" w:cs="宋体"/>
          <w:sz w:val="24"/>
          <w:szCs w:val="24"/>
          <w:highlight w:val="none"/>
        </w:rPr>
      </w:pPr>
      <w:r>
        <w:rPr>
          <w:rFonts w:ascii="宋体" w:hAnsi="宋体" w:eastAsia="宋体" w:cs="宋体"/>
          <w:spacing w:val="-1"/>
          <w:sz w:val="24"/>
          <w:szCs w:val="24"/>
          <w:highlight w:val="none"/>
        </w:rPr>
        <w:t>（二）竞争性比选文件、入围供应商的响应文件及澄清文件等，均为签订采购合同的</w:t>
      </w:r>
      <w:r>
        <w:rPr>
          <w:rFonts w:ascii="宋体" w:hAnsi="宋体" w:eastAsia="宋体" w:cs="宋体"/>
          <w:spacing w:val="15"/>
          <w:sz w:val="24"/>
          <w:szCs w:val="24"/>
          <w:highlight w:val="none"/>
        </w:rPr>
        <w:t xml:space="preserve"> </w:t>
      </w:r>
      <w:r>
        <w:rPr>
          <w:rFonts w:ascii="宋体" w:hAnsi="宋体" w:eastAsia="宋体" w:cs="宋体"/>
          <w:spacing w:val="-4"/>
          <w:sz w:val="24"/>
          <w:szCs w:val="24"/>
          <w:highlight w:val="none"/>
        </w:rPr>
        <w:t>依据。</w:t>
      </w:r>
    </w:p>
    <w:p w14:paraId="391787D7">
      <w:pPr>
        <w:spacing w:before="113"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（三）合同生效条款由供需双方约定，法律、行政法规规定应当办理批准、登记等手</w:t>
      </w:r>
    </w:p>
    <w:p w14:paraId="3E3FBA32">
      <w:pPr>
        <w:spacing w:before="117" w:line="219" w:lineRule="auto"/>
        <w:ind w:left="3"/>
        <w:outlineLvl w:val="1"/>
        <w:rPr>
          <w:rFonts w:ascii="宋体" w:hAnsi="宋体" w:eastAsia="宋体" w:cs="宋体"/>
          <w:sz w:val="24"/>
          <w:szCs w:val="24"/>
          <w:highlight w:val="none"/>
        </w:rPr>
      </w:pPr>
      <w:r>
        <w:rPr>
          <w:rFonts w:ascii="宋体" w:hAnsi="宋体" w:eastAsia="宋体" w:cs="宋体"/>
          <w:spacing w:val="-1"/>
          <w:sz w:val="24"/>
          <w:szCs w:val="24"/>
          <w:highlight w:val="none"/>
        </w:rPr>
        <w:t>续后生效的合同，依照其规定。</w:t>
      </w:r>
    </w:p>
    <w:p w14:paraId="292D85E8">
      <w:pPr>
        <w:spacing w:line="219" w:lineRule="auto"/>
        <w:rPr>
          <w:rFonts w:ascii="宋体" w:hAnsi="宋体" w:eastAsia="宋体" w:cs="宋体"/>
          <w:sz w:val="24"/>
          <w:szCs w:val="24"/>
          <w:highlight w:val="none"/>
        </w:rPr>
        <w:sectPr>
          <w:footerReference r:id="rId15" w:type="default"/>
          <w:pgSz w:w="11907" w:h="16840"/>
          <w:pgMar w:top="820" w:right="1190" w:bottom="1200" w:left="1311" w:header="0" w:footer="996" w:gutter="0"/>
          <w:cols w:space="720" w:num="1"/>
        </w:sectPr>
      </w:pPr>
    </w:p>
    <w:p w14:paraId="5EAADC30">
      <w:pPr>
        <w:spacing w:before="42" w:line="229" w:lineRule="auto"/>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0035C3C3">
      <w:pPr>
        <w:spacing w:before="114" w:line="216" w:lineRule="auto"/>
        <w:ind w:left="2590"/>
        <w:outlineLvl w:val="0"/>
        <w:rPr>
          <w:rFonts w:ascii="宋体" w:hAnsi="宋体" w:eastAsia="宋体" w:cs="宋体"/>
          <w:sz w:val="31"/>
          <w:szCs w:val="31"/>
          <w:highlight w:val="none"/>
        </w:rPr>
      </w:pPr>
      <w:r>
        <w:rPr>
          <w:rFonts w:ascii="微软雅黑" w:hAnsi="微软雅黑" w:eastAsia="微软雅黑" w:cs="微软雅黑"/>
          <w:spacing w:val="7"/>
          <w:sz w:val="35"/>
          <w:szCs w:val="35"/>
          <w:highlight w:val="none"/>
        </w:rPr>
        <w:t>第六篇</w:t>
      </w:r>
      <w:r>
        <w:rPr>
          <w:rFonts w:ascii="微软雅黑" w:hAnsi="微软雅黑" w:eastAsia="微软雅黑" w:cs="微软雅黑"/>
          <w:spacing w:val="21"/>
          <w:sz w:val="35"/>
          <w:szCs w:val="35"/>
          <w:highlight w:val="none"/>
        </w:rPr>
        <w:t xml:space="preserve">   </w:t>
      </w:r>
      <w:r>
        <w:rPr>
          <w:rFonts w:ascii="微软雅黑" w:hAnsi="微软雅黑" w:eastAsia="微软雅黑" w:cs="微软雅黑"/>
          <w:spacing w:val="7"/>
          <w:sz w:val="35"/>
          <w:szCs w:val="35"/>
          <w:highlight w:val="none"/>
        </w:rPr>
        <w:t>采购合同</w:t>
      </w:r>
      <w:r>
        <w:rPr>
          <w:rFonts w:ascii="宋体" w:hAnsi="宋体" w:eastAsia="宋体" w:cs="宋体"/>
          <w:spacing w:val="7"/>
          <w:sz w:val="31"/>
          <w:szCs w:val="31"/>
          <w:highlight w:val="none"/>
        </w:rPr>
        <w:t>（样本）</w:t>
      </w:r>
    </w:p>
    <w:p w14:paraId="0AC7385F">
      <w:pPr>
        <w:spacing w:before="235" w:line="221" w:lineRule="auto"/>
        <w:ind w:left="3642" w:hanging="3636"/>
        <w:rPr>
          <w:rFonts w:ascii="宋体" w:hAnsi="宋体" w:eastAsia="宋体" w:cs="宋体"/>
          <w:sz w:val="47"/>
          <w:szCs w:val="47"/>
          <w:highlight w:val="none"/>
        </w:rPr>
      </w:pPr>
      <w:r>
        <w:rPr>
          <w:rFonts w:ascii="宋体" w:hAnsi="宋体" w:eastAsia="宋体" w:cs="宋体"/>
          <w:spacing w:val="32"/>
          <w:sz w:val="47"/>
          <w:szCs w:val="47"/>
          <w:highlight w:val="none"/>
        </w:rPr>
        <w:t>重庆理工职业学院</w:t>
      </w:r>
      <w:r>
        <w:rPr>
          <w:rFonts w:ascii="宋体" w:hAnsi="宋体" w:eastAsia="宋体" w:cs="宋体"/>
          <w:spacing w:val="-39"/>
          <w:sz w:val="47"/>
          <w:szCs w:val="47"/>
          <w:highlight w:val="none"/>
        </w:rPr>
        <w:t xml:space="preserve"> </w:t>
      </w:r>
      <w:r>
        <w:rPr>
          <w:rFonts w:ascii="宋体" w:hAnsi="宋体" w:eastAsia="宋体" w:cs="宋体"/>
          <w:spacing w:val="32"/>
          <w:sz w:val="47"/>
          <w:szCs w:val="47"/>
          <w:highlight w:val="none"/>
        </w:rPr>
        <w:t>2025-2026</w:t>
      </w:r>
      <w:r>
        <w:rPr>
          <w:rFonts w:ascii="宋体" w:hAnsi="宋体" w:eastAsia="宋体" w:cs="宋体"/>
          <w:spacing w:val="-61"/>
          <w:sz w:val="47"/>
          <w:szCs w:val="47"/>
          <w:highlight w:val="none"/>
        </w:rPr>
        <w:t xml:space="preserve"> </w:t>
      </w:r>
      <w:r>
        <w:rPr>
          <w:rFonts w:ascii="宋体" w:hAnsi="宋体" w:eastAsia="宋体" w:cs="宋体"/>
          <w:spacing w:val="32"/>
          <w:sz w:val="47"/>
          <w:szCs w:val="47"/>
          <w:highlight w:val="none"/>
        </w:rPr>
        <w:t>年零星维修</w:t>
      </w:r>
      <w:r>
        <w:rPr>
          <w:rFonts w:ascii="宋体" w:hAnsi="宋体" w:eastAsia="宋体" w:cs="宋体"/>
          <w:sz w:val="47"/>
          <w:szCs w:val="47"/>
          <w:highlight w:val="none"/>
        </w:rPr>
        <w:t xml:space="preserve"> </w:t>
      </w:r>
      <w:r>
        <w:rPr>
          <w:rFonts w:ascii="宋体" w:hAnsi="宋体" w:eastAsia="宋体" w:cs="宋体"/>
          <w:spacing w:val="35"/>
          <w:sz w:val="47"/>
          <w:szCs w:val="47"/>
          <w:highlight w:val="none"/>
        </w:rPr>
        <w:t>入围采购</w:t>
      </w:r>
    </w:p>
    <w:p w14:paraId="51761042">
      <w:pPr>
        <w:pStyle w:val="2"/>
        <w:spacing w:line="254" w:lineRule="auto"/>
        <w:rPr>
          <w:highlight w:val="none"/>
        </w:rPr>
      </w:pPr>
    </w:p>
    <w:p w14:paraId="33925812">
      <w:pPr>
        <w:pStyle w:val="2"/>
        <w:spacing w:line="254" w:lineRule="auto"/>
        <w:rPr>
          <w:highlight w:val="none"/>
        </w:rPr>
      </w:pPr>
    </w:p>
    <w:p w14:paraId="21EA230A">
      <w:pPr>
        <w:spacing w:before="308" w:line="357" w:lineRule="auto"/>
        <w:ind w:left="4223" w:right="4164" w:hanging="3"/>
        <w:jc w:val="both"/>
        <w:rPr>
          <w:rFonts w:ascii="宋体" w:hAnsi="宋体" w:eastAsia="宋体" w:cs="宋体"/>
          <w:sz w:val="95"/>
          <w:szCs w:val="95"/>
          <w:highlight w:val="none"/>
        </w:rPr>
      </w:pPr>
      <w:bookmarkStart w:id="55" w:name="bookmark48"/>
      <w:bookmarkEnd w:id="55"/>
      <w:r>
        <w:rPr>
          <w:rFonts w:ascii="宋体" w:hAnsi="宋体" w:eastAsia="宋体" w:cs="宋体"/>
          <w:b/>
          <w:bCs/>
          <w:spacing w:val="-38"/>
          <w:sz w:val="95"/>
          <w:szCs w:val="95"/>
          <w:highlight w:val="none"/>
        </w:rPr>
        <w:t>服</w:t>
      </w:r>
      <w:r>
        <w:rPr>
          <w:rFonts w:ascii="宋体" w:hAnsi="宋体" w:eastAsia="宋体" w:cs="宋体"/>
          <w:sz w:val="95"/>
          <w:szCs w:val="95"/>
          <w:highlight w:val="none"/>
        </w:rPr>
        <w:t xml:space="preserve"> </w:t>
      </w:r>
      <w:r>
        <w:rPr>
          <w:rFonts w:ascii="宋体" w:hAnsi="宋体" w:eastAsia="宋体" w:cs="宋体"/>
          <w:b/>
          <w:bCs/>
          <w:spacing w:val="-42"/>
          <w:sz w:val="95"/>
          <w:szCs w:val="95"/>
          <w:highlight w:val="none"/>
        </w:rPr>
        <w:t>务</w:t>
      </w:r>
      <w:r>
        <w:rPr>
          <w:rFonts w:ascii="宋体" w:hAnsi="宋体" w:eastAsia="宋体" w:cs="宋体"/>
          <w:sz w:val="95"/>
          <w:szCs w:val="95"/>
          <w:highlight w:val="none"/>
        </w:rPr>
        <w:t xml:space="preserve"> </w:t>
      </w:r>
      <w:r>
        <w:rPr>
          <w:rFonts w:ascii="宋体" w:hAnsi="宋体" w:eastAsia="宋体" w:cs="宋体"/>
          <w:b/>
          <w:bCs/>
          <w:spacing w:val="-42"/>
          <w:sz w:val="95"/>
          <w:szCs w:val="95"/>
          <w:highlight w:val="none"/>
        </w:rPr>
        <w:t>合</w:t>
      </w:r>
      <w:r>
        <w:rPr>
          <w:rFonts w:ascii="宋体" w:hAnsi="宋体" w:eastAsia="宋体" w:cs="宋体"/>
          <w:sz w:val="95"/>
          <w:szCs w:val="95"/>
          <w:highlight w:val="none"/>
        </w:rPr>
        <w:t xml:space="preserve"> </w:t>
      </w:r>
      <w:r>
        <w:rPr>
          <w:rFonts w:ascii="宋体" w:hAnsi="宋体" w:eastAsia="宋体" w:cs="宋体"/>
          <w:b/>
          <w:bCs/>
          <w:spacing w:val="-42"/>
          <w:sz w:val="95"/>
          <w:szCs w:val="95"/>
          <w:highlight w:val="none"/>
        </w:rPr>
        <w:t>同</w:t>
      </w:r>
    </w:p>
    <w:p w14:paraId="793AB70A">
      <w:pPr>
        <w:pStyle w:val="2"/>
        <w:spacing w:line="265" w:lineRule="auto"/>
        <w:rPr>
          <w:highlight w:val="none"/>
        </w:rPr>
      </w:pPr>
    </w:p>
    <w:p w14:paraId="470945B5">
      <w:pPr>
        <w:pStyle w:val="2"/>
        <w:spacing w:line="265" w:lineRule="auto"/>
        <w:rPr>
          <w:highlight w:val="none"/>
        </w:rPr>
      </w:pPr>
    </w:p>
    <w:p w14:paraId="66A62CDC">
      <w:pPr>
        <w:pStyle w:val="2"/>
        <w:spacing w:line="265" w:lineRule="auto"/>
        <w:rPr>
          <w:highlight w:val="none"/>
        </w:rPr>
      </w:pPr>
    </w:p>
    <w:p w14:paraId="68E2D0FB">
      <w:pPr>
        <w:pStyle w:val="2"/>
        <w:spacing w:line="265" w:lineRule="auto"/>
        <w:rPr>
          <w:highlight w:val="none"/>
        </w:rPr>
      </w:pPr>
    </w:p>
    <w:p w14:paraId="6D56D8B9">
      <w:pPr>
        <w:pStyle w:val="2"/>
        <w:spacing w:line="266" w:lineRule="auto"/>
        <w:rPr>
          <w:highlight w:val="none"/>
        </w:rPr>
      </w:pPr>
    </w:p>
    <w:p w14:paraId="75A17747">
      <w:pPr>
        <w:spacing w:before="101" w:line="356" w:lineRule="auto"/>
        <w:ind w:left="1252" w:right="2945" w:hanging="11"/>
        <w:rPr>
          <w:rFonts w:ascii="宋体" w:hAnsi="宋体" w:eastAsia="宋体" w:cs="宋体"/>
          <w:sz w:val="31"/>
          <w:szCs w:val="31"/>
          <w:highlight w:val="none"/>
        </w:rPr>
      </w:pPr>
      <w:r>
        <w:rPr>
          <w:rFonts w:ascii="宋体" w:hAnsi="宋体" w:eastAsia="宋体" w:cs="宋体"/>
          <w:b/>
          <w:bCs/>
          <w:spacing w:val="5"/>
          <w:sz w:val="31"/>
          <w:szCs w:val="31"/>
          <w:highlight w:val="none"/>
        </w:rPr>
        <w:t>发包人（甲方</w:t>
      </w:r>
      <w:r>
        <w:rPr>
          <w:rFonts w:ascii="宋体" w:hAnsi="宋体" w:eastAsia="宋体" w:cs="宋体"/>
          <w:b/>
          <w:bCs/>
          <w:spacing w:val="18"/>
          <w:sz w:val="31"/>
          <w:szCs w:val="31"/>
          <w:highlight w:val="none"/>
        </w:rPr>
        <w:t>）：</w:t>
      </w:r>
      <w:r>
        <w:rPr>
          <w:rFonts w:ascii="宋体" w:hAnsi="宋体" w:eastAsia="宋体" w:cs="宋体"/>
          <w:b/>
          <w:bCs/>
          <w:spacing w:val="5"/>
          <w:sz w:val="31"/>
          <w:szCs w:val="31"/>
          <w:highlight w:val="none"/>
        </w:rPr>
        <w:t>重庆理工职业学院</w:t>
      </w:r>
      <w:r>
        <w:rPr>
          <w:rFonts w:ascii="宋体" w:hAnsi="宋体" w:eastAsia="宋体" w:cs="宋体"/>
          <w:spacing w:val="1"/>
          <w:sz w:val="31"/>
          <w:szCs w:val="31"/>
          <w:highlight w:val="none"/>
        </w:rPr>
        <w:t xml:space="preserve"> </w:t>
      </w:r>
      <w:r>
        <w:rPr>
          <w:rFonts w:ascii="宋体" w:hAnsi="宋体" w:eastAsia="宋体" w:cs="宋体"/>
          <w:b/>
          <w:bCs/>
          <w:spacing w:val="5"/>
          <w:sz w:val="31"/>
          <w:szCs w:val="31"/>
          <w:highlight w:val="none"/>
        </w:rPr>
        <w:t>承包人（乙方</w:t>
      </w:r>
      <w:r>
        <w:rPr>
          <w:rFonts w:ascii="宋体" w:hAnsi="宋体" w:eastAsia="宋体" w:cs="宋体"/>
          <w:b/>
          <w:bCs/>
          <w:spacing w:val="-3"/>
          <w:sz w:val="31"/>
          <w:szCs w:val="31"/>
          <w:highlight w:val="none"/>
        </w:rPr>
        <w:t>）：</w:t>
      </w:r>
    </w:p>
    <w:p w14:paraId="3E956B6C">
      <w:pPr>
        <w:pStyle w:val="2"/>
        <w:spacing w:line="283" w:lineRule="auto"/>
        <w:rPr>
          <w:highlight w:val="none"/>
        </w:rPr>
      </w:pPr>
    </w:p>
    <w:p w14:paraId="211F2F1E">
      <w:pPr>
        <w:pStyle w:val="2"/>
        <w:spacing w:line="283" w:lineRule="auto"/>
        <w:rPr>
          <w:highlight w:val="none"/>
        </w:rPr>
      </w:pPr>
    </w:p>
    <w:p w14:paraId="5D79C263">
      <w:pPr>
        <w:spacing w:before="102" w:line="225" w:lineRule="auto"/>
        <w:ind w:left="3515"/>
        <w:rPr>
          <w:rFonts w:ascii="宋体" w:hAnsi="宋体" w:eastAsia="宋体" w:cs="宋体"/>
          <w:sz w:val="31"/>
          <w:szCs w:val="31"/>
          <w:highlight w:val="none"/>
        </w:rPr>
      </w:pPr>
      <w:r>
        <w:rPr>
          <w:rFonts w:ascii="宋体" w:hAnsi="宋体" w:eastAsia="宋体" w:cs="宋体"/>
          <w:b/>
          <w:bCs/>
          <w:spacing w:val="-5"/>
          <w:sz w:val="31"/>
          <w:szCs w:val="31"/>
          <w:highlight w:val="none"/>
        </w:rPr>
        <w:t>2025</w:t>
      </w:r>
      <w:r>
        <w:rPr>
          <w:rFonts w:ascii="宋体" w:hAnsi="宋体" w:eastAsia="宋体" w:cs="宋体"/>
          <w:spacing w:val="-58"/>
          <w:sz w:val="31"/>
          <w:szCs w:val="31"/>
          <w:highlight w:val="none"/>
        </w:rPr>
        <w:t xml:space="preserve"> </w:t>
      </w:r>
      <w:r>
        <w:rPr>
          <w:rFonts w:ascii="宋体" w:hAnsi="宋体" w:eastAsia="宋体" w:cs="宋体"/>
          <w:b/>
          <w:bCs/>
          <w:spacing w:val="-5"/>
          <w:sz w:val="31"/>
          <w:szCs w:val="31"/>
          <w:highlight w:val="none"/>
        </w:rPr>
        <w:t>年</w:t>
      </w:r>
      <w:r>
        <w:rPr>
          <w:rFonts w:ascii="宋体" w:hAnsi="宋体" w:eastAsia="宋体" w:cs="宋体"/>
          <w:spacing w:val="17"/>
          <w:sz w:val="31"/>
          <w:szCs w:val="31"/>
          <w:highlight w:val="none"/>
        </w:rPr>
        <w:t xml:space="preserve">  </w:t>
      </w:r>
      <w:r>
        <w:rPr>
          <w:rFonts w:ascii="宋体" w:hAnsi="宋体" w:eastAsia="宋体" w:cs="宋体"/>
          <w:b/>
          <w:bCs/>
          <w:spacing w:val="-5"/>
          <w:sz w:val="31"/>
          <w:szCs w:val="31"/>
          <w:highlight w:val="none"/>
        </w:rPr>
        <w:t>月</w:t>
      </w:r>
      <w:r>
        <w:rPr>
          <w:rFonts w:ascii="宋体" w:hAnsi="宋体" w:eastAsia="宋体" w:cs="宋体"/>
          <w:spacing w:val="41"/>
          <w:sz w:val="31"/>
          <w:szCs w:val="31"/>
          <w:highlight w:val="none"/>
        </w:rPr>
        <w:t xml:space="preserve">  </w:t>
      </w:r>
      <w:r>
        <w:rPr>
          <w:rFonts w:ascii="宋体" w:hAnsi="宋体" w:eastAsia="宋体" w:cs="宋体"/>
          <w:b/>
          <w:bCs/>
          <w:spacing w:val="-5"/>
          <w:sz w:val="31"/>
          <w:szCs w:val="31"/>
          <w:highlight w:val="none"/>
        </w:rPr>
        <w:t>日</w:t>
      </w:r>
    </w:p>
    <w:p w14:paraId="45C3820A">
      <w:pPr>
        <w:spacing w:line="225" w:lineRule="auto"/>
        <w:rPr>
          <w:rFonts w:ascii="宋体" w:hAnsi="宋体" w:eastAsia="宋体" w:cs="宋体"/>
          <w:sz w:val="31"/>
          <w:szCs w:val="31"/>
          <w:highlight w:val="none"/>
        </w:rPr>
        <w:sectPr>
          <w:footerReference r:id="rId16" w:type="default"/>
          <w:pgSz w:w="11907" w:h="16840"/>
          <w:pgMar w:top="820" w:right="1255" w:bottom="1200" w:left="1343" w:header="0" w:footer="996" w:gutter="0"/>
          <w:cols w:space="720" w:num="1"/>
        </w:sectPr>
      </w:pPr>
    </w:p>
    <w:p w14:paraId="047812FF">
      <w:pPr>
        <w:spacing w:before="42" w:line="229" w:lineRule="auto"/>
        <w:ind w:left="31"/>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31178240">
      <w:pPr>
        <w:spacing w:before="59" w:line="221" w:lineRule="auto"/>
        <w:ind w:left="2632" w:right="64" w:hanging="2595"/>
        <w:rPr>
          <w:rFonts w:ascii="宋体" w:hAnsi="宋体" w:eastAsia="宋体" w:cs="宋体"/>
          <w:sz w:val="47"/>
          <w:szCs w:val="47"/>
          <w:highlight w:val="none"/>
        </w:rPr>
      </w:pPr>
      <w:r>
        <w:rPr>
          <w:rFonts w:ascii="宋体" w:hAnsi="宋体" w:eastAsia="宋体" w:cs="宋体"/>
          <w:spacing w:val="32"/>
          <w:sz w:val="47"/>
          <w:szCs w:val="47"/>
          <w:highlight w:val="none"/>
        </w:rPr>
        <w:t>重庆理工职业学院</w:t>
      </w:r>
      <w:r>
        <w:rPr>
          <w:rFonts w:ascii="宋体" w:hAnsi="宋体" w:eastAsia="宋体" w:cs="宋体"/>
          <w:spacing w:val="-39"/>
          <w:sz w:val="47"/>
          <w:szCs w:val="47"/>
          <w:highlight w:val="none"/>
        </w:rPr>
        <w:t xml:space="preserve"> </w:t>
      </w:r>
      <w:r>
        <w:rPr>
          <w:rFonts w:ascii="宋体" w:hAnsi="宋体" w:eastAsia="宋体" w:cs="宋体"/>
          <w:spacing w:val="32"/>
          <w:sz w:val="47"/>
          <w:szCs w:val="47"/>
          <w:highlight w:val="none"/>
        </w:rPr>
        <w:t>2025-2026</w:t>
      </w:r>
      <w:r>
        <w:rPr>
          <w:rFonts w:ascii="宋体" w:hAnsi="宋体" w:eastAsia="宋体" w:cs="宋体"/>
          <w:spacing w:val="-61"/>
          <w:sz w:val="47"/>
          <w:szCs w:val="47"/>
          <w:highlight w:val="none"/>
        </w:rPr>
        <w:t xml:space="preserve"> </w:t>
      </w:r>
      <w:r>
        <w:rPr>
          <w:rFonts w:ascii="宋体" w:hAnsi="宋体" w:eastAsia="宋体" w:cs="宋体"/>
          <w:spacing w:val="32"/>
          <w:sz w:val="47"/>
          <w:szCs w:val="47"/>
          <w:highlight w:val="none"/>
        </w:rPr>
        <w:t>年零星维修</w:t>
      </w:r>
      <w:r>
        <w:rPr>
          <w:rFonts w:ascii="宋体" w:hAnsi="宋体" w:eastAsia="宋体" w:cs="宋体"/>
          <w:sz w:val="47"/>
          <w:szCs w:val="47"/>
          <w:highlight w:val="none"/>
        </w:rPr>
        <w:t xml:space="preserve"> </w:t>
      </w:r>
      <w:r>
        <w:rPr>
          <w:rFonts w:ascii="宋体" w:hAnsi="宋体" w:eastAsia="宋体" w:cs="宋体"/>
          <w:spacing w:val="42"/>
          <w:sz w:val="47"/>
          <w:szCs w:val="47"/>
          <w:highlight w:val="none"/>
        </w:rPr>
        <w:t>入围采购服务合同</w:t>
      </w:r>
    </w:p>
    <w:p w14:paraId="0AD32610">
      <w:pPr>
        <w:pStyle w:val="2"/>
        <w:spacing w:line="280" w:lineRule="auto"/>
        <w:rPr>
          <w:highlight w:val="none"/>
        </w:rPr>
      </w:pPr>
    </w:p>
    <w:p w14:paraId="4470AE74">
      <w:pPr>
        <w:pStyle w:val="2"/>
        <w:spacing w:line="281" w:lineRule="auto"/>
        <w:rPr>
          <w:highlight w:val="none"/>
        </w:rPr>
      </w:pPr>
    </w:p>
    <w:p w14:paraId="293EE421">
      <w:pPr>
        <w:pStyle w:val="2"/>
        <w:spacing w:line="281" w:lineRule="auto"/>
        <w:rPr>
          <w:highlight w:val="none"/>
        </w:rPr>
      </w:pPr>
    </w:p>
    <w:p w14:paraId="7FD61490">
      <w:pPr>
        <w:spacing w:before="78" w:line="419" w:lineRule="auto"/>
        <w:ind w:right="6652" w:firstLine="30"/>
        <w:rPr>
          <w:rFonts w:ascii="宋体" w:hAnsi="宋体" w:eastAsia="宋体" w:cs="宋体"/>
          <w:sz w:val="24"/>
          <w:szCs w:val="24"/>
          <w:highlight w:val="none"/>
        </w:rPr>
      </w:pPr>
      <w:r>
        <w:rPr>
          <w:rFonts w:ascii="宋体" w:hAnsi="宋体" w:eastAsia="宋体" w:cs="宋体"/>
          <w:spacing w:val="-4"/>
          <w:sz w:val="24"/>
          <w:szCs w:val="24"/>
          <w:highlight w:val="none"/>
        </w:rPr>
        <w:t>甲 方：重庆理工职业学院</w:t>
      </w:r>
      <w:r>
        <w:rPr>
          <w:rFonts w:ascii="宋体" w:hAnsi="宋体" w:eastAsia="宋体" w:cs="宋体"/>
          <w:spacing w:val="6"/>
          <w:sz w:val="24"/>
          <w:szCs w:val="24"/>
          <w:highlight w:val="none"/>
        </w:rPr>
        <w:t xml:space="preserve"> </w:t>
      </w:r>
      <w:r>
        <w:rPr>
          <w:rFonts w:ascii="宋体" w:hAnsi="宋体" w:eastAsia="宋体" w:cs="宋体"/>
          <w:spacing w:val="-2"/>
          <w:sz w:val="24"/>
          <w:szCs w:val="24"/>
          <w:highlight w:val="none"/>
        </w:rPr>
        <w:t>法定代表人：龚必飞</w:t>
      </w:r>
    </w:p>
    <w:p w14:paraId="7BF4B657">
      <w:pPr>
        <w:spacing w:before="31" w:line="218" w:lineRule="auto"/>
        <w:ind w:left="1"/>
        <w:rPr>
          <w:rFonts w:ascii="宋体" w:hAnsi="宋体" w:eastAsia="宋体" w:cs="宋体"/>
          <w:sz w:val="24"/>
          <w:szCs w:val="24"/>
          <w:highlight w:val="none"/>
        </w:rPr>
      </w:pPr>
      <w:r>
        <w:rPr>
          <w:rFonts w:ascii="宋体" w:hAnsi="宋体" w:eastAsia="宋体" w:cs="宋体"/>
          <w:spacing w:val="-1"/>
          <w:sz w:val="24"/>
          <w:szCs w:val="24"/>
          <w:highlight w:val="none"/>
        </w:rPr>
        <w:t>社会代码：52500000MJP5965746</w:t>
      </w:r>
    </w:p>
    <w:p w14:paraId="68F9D697">
      <w:pPr>
        <w:spacing w:before="276" w:line="219" w:lineRule="auto"/>
        <w:rPr>
          <w:rFonts w:ascii="宋体" w:hAnsi="宋体" w:eastAsia="宋体" w:cs="宋体"/>
          <w:sz w:val="24"/>
          <w:szCs w:val="24"/>
          <w:highlight w:val="none"/>
        </w:rPr>
      </w:pPr>
      <w:r>
        <w:rPr>
          <w:rFonts w:ascii="宋体" w:hAnsi="宋体" w:eastAsia="宋体" w:cs="宋体"/>
          <w:spacing w:val="-2"/>
          <w:sz w:val="24"/>
          <w:szCs w:val="24"/>
          <w:highlight w:val="none"/>
        </w:rPr>
        <w:t>地 址：重庆市巴南区东城大道</w:t>
      </w:r>
      <w:r>
        <w:rPr>
          <w:rFonts w:ascii="宋体" w:hAnsi="宋体" w:eastAsia="宋体" w:cs="宋体"/>
          <w:spacing w:val="-35"/>
          <w:sz w:val="24"/>
          <w:szCs w:val="24"/>
          <w:highlight w:val="none"/>
        </w:rPr>
        <w:t xml:space="preserve"> </w:t>
      </w:r>
      <w:r>
        <w:rPr>
          <w:rFonts w:ascii="宋体" w:hAnsi="宋体" w:eastAsia="宋体" w:cs="宋体"/>
          <w:spacing w:val="-2"/>
          <w:sz w:val="24"/>
          <w:szCs w:val="24"/>
          <w:highlight w:val="none"/>
        </w:rPr>
        <w:t>588</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w:t>
      </w:r>
    </w:p>
    <w:p w14:paraId="1E82CBF7">
      <w:pPr>
        <w:pStyle w:val="2"/>
        <w:spacing w:line="250" w:lineRule="auto"/>
        <w:rPr>
          <w:highlight w:val="none"/>
        </w:rPr>
      </w:pPr>
    </w:p>
    <w:p w14:paraId="314ED3ED">
      <w:pPr>
        <w:pStyle w:val="2"/>
        <w:spacing w:line="251" w:lineRule="auto"/>
        <w:rPr>
          <w:highlight w:val="none"/>
        </w:rPr>
      </w:pPr>
    </w:p>
    <w:p w14:paraId="37E0EAD6">
      <w:pPr>
        <w:pStyle w:val="2"/>
        <w:spacing w:line="251" w:lineRule="auto"/>
        <w:rPr>
          <w:highlight w:val="none"/>
        </w:rPr>
      </w:pPr>
    </w:p>
    <w:p w14:paraId="00239403">
      <w:pPr>
        <w:spacing w:before="79" w:line="221" w:lineRule="auto"/>
        <w:ind w:left="23"/>
        <w:rPr>
          <w:rFonts w:ascii="宋体" w:hAnsi="宋体" w:eastAsia="宋体" w:cs="宋体"/>
          <w:sz w:val="24"/>
          <w:szCs w:val="24"/>
          <w:highlight w:val="none"/>
        </w:rPr>
      </w:pPr>
      <w:r>
        <w:rPr>
          <w:rFonts w:ascii="宋体" w:hAnsi="宋体" w:eastAsia="宋体" w:cs="宋体"/>
          <w:spacing w:val="-15"/>
          <w:sz w:val="24"/>
          <w:szCs w:val="24"/>
          <w:highlight w:val="none"/>
        </w:rPr>
        <w:t>乙</w:t>
      </w:r>
      <w:r>
        <w:rPr>
          <w:rFonts w:ascii="宋体" w:hAnsi="宋体" w:eastAsia="宋体" w:cs="宋体"/>
          <w:spacing w:val="11"/>
          <w:sz w:val="24"/>
          <w:szCs w:val="24"/>
          <w:highlight w:val="none"/>
        </w:rPr>
        <w:t xml:space="preserve"> </w:t>
      </w:r>
      <w:r>
        <w:rPr>
          <w:rFonts w:ascii="宋体" w:hAnsi="宋体" w:eastAsia="宋体" w:cs="宋体"/>
          <w:spacing w:val="-15"/>
          <w:sz w:val="24"/>
          <w:szCs w:val="24"/>
          <w:highlight w:val="none"/>
        </w:rPr>
        <w:t>方：</w:t>
      </w:r>
    </w:p>
    <w:p w14:paraId="70B19B0A">
      <w:pPr>
        <w:spacing w:before="273" w:line="418" w:lineRule="auto"/>
        <w:ind w:right="8033"/>
        <w:rPr>
          <w:rFonts w:ascii="宋体" w:hAnsi="宋体" w:eastAsia="宋体" w:cs="宋体"/>
          <w:sz w:val="24"/>
          <w:szCs w:val="24"/>
          <w:highlight w:val="none"/>
        </w:rPr>
      </w:pPr>
      <w:r>
        <w:rPr>
          <w:rFonts w:ascii="宋体" w:hAnsi="宋体" w:eastAsia="宋体" w:cs="宋体"/>
          <w:spacing w:val="-12"/>
          <w:sz w:val="24"/>
          <w:szCs w:val="24"/>
          <w:highlight w:val="none"/>
        </w:rPr>
        <w:t>法定代表人：</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社会代码：</w:t>
      </w:r>
    </w:p>
    <w:p w14:paraId="5692D2E8">
      <w:pPr>
        <w:spacing w:before="33" w:line="229" w:lineRule="auto"/>
        <w:rPr>
          <w:rFonts w:ascii="宋体" w:hAnsi="宋体" w:eastAsia="宋体" w:cs="宋体"/>
          <w:sz w:val="24"/>
          <w:szCs w:val="24"/>
          <w:highlight w:val="none"/>
        </w:rPr>
      </w:pPr>
      <w:r>
        <w:rPr>
          <w:rFonts w:ascii="宋体" w:hAnsi="宋体" w:eastAsia="宋体" w:cs="宋体"/>
          <w:spacing w:val="-7"/>
          <w:sz w:val="24"/>
          <w:szCs w:val="24"/>
          <w:highlight w:val="none"/>
        </w:rPr>
        <w:t>地</w:t>
      </w:r>
      <w:r>
        <w:rPr>
          <w:rFonts w:ascii="宋体" w:hAnsi="宋体" w:eastAsia="宋体" w:cs="宋体"/>
          <w:spacing w:val="10"/>
          <w:sz w:val="24"/>
          <w:szCs w:val="24"/>
          <w:highlight w:val="none"/>
        </w:rPr>
        <w:t xml:space="preserve"> </w:t>
      </w:r>
      <w:r>
        <w:rPr>
          <w:rFonts w:ascii="宋体" w:hAnsi="宋体" w:eastAsia="宋体" w:cs="宋体"/>
          <w:spacing w:val="-7"/>
          <w:sz w:val="24"/>
          <w:szCs w:val="24"/>
          <w:highlight w:val="none"/>
        </w:rPr>
        <w:t>址：</w:t>
      </w:r>
    </w:p>
    <w:p w14:paraId="3136E785">
      <w:pPr>
        <w:pStyle w:val="2"/>
        <w:spacing w:line="323" w:lineRule="auto"/>
        <w:rPr>
          <w:highlight w:val="none"/>
        </w:rPr>
      </w:pPr>
    </w:p>
    <w:p w14:paraId="56EEA577">
      <w:pPr>
        <w:pStyle w:val="2"/>
        <w:spacing w:line="323" w:lineRule="auto"/>
        <w:rPr>
          <w:highlight w:val="none"/>
        </w:rPr>
      </w:pPr>
    </w:p>
    <w:p w14:paraId="4413763E">
      <w:pPr>
        <w:spacing w:before="78" w:line="324" w:lineRule="auto"/>
        <w:ind w:left="7" w:firstLine="471"/>
        <w:rPr>
          <w:rFonts w:ascii="宋体" w:hAnsi="宋体" w:eastAsia="宋体" w:cs="宋体"/>
          <w:sz w:val="24"/>
          <w:szCs w:val="24"/>
          <w:highlight w:val="none"/>
        </w:rPr>
      </w:pPr>
      <w:r>
        <w:rPr>
          <w:rFonts w:ascii="宋体" w:hAnsi="宋体" w:eastAsia="宋体" w:cs="宋体"/>
          <w:spacing w:val="1"/>
          <w:sz w:val="24"/>
          <w:szCs w:val="24"/>
          <w:highlight w:val="none"/>
        </w:rPr>
        <w:t>在乙方充分考察及熟悉本合同所述甲方指定项目的工程内容及其相关特点背景的前提</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下，甲乙双方依照《中华人民共和国民法典》及其他相关法律、行政法规的规</w:t>
      </w:r>
      <w:r>
        <w:rPr>
          <w:rFonts w:ascii="宋体" w:hAnsi="宋体" w:eastAsia="宋体" w:cs="宋体"/>
          <w:sz w:val="24"/>
          <w:szCs w:val="24"/>
          <w:highlight w:val="none"/>
        </w:rPr>
        <w:t>定，遵循平</w:t>
      </w:r>
    </w:p>
    <w:p w14:paraId="179B8A0B">
      <w:pPr>
        <w:spacing w:before="36" w:line="219"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等、自愿、公平、公正和诚实信用的原则，双方就重庆理工职业学院</w:t>
      </w:r>
      <w:r>
        <w:rPr>
          <w:rFonts w:ascii="宋体" w:hAnsi="宋体" w:eastAsia="宋体" w:cs="宋体"/>
          <w:spacing w:val="-2"/>
          <w:sz w:val="24"/>
          <w:szCs w:val="24"/>
          <w:highlight w:val="none"/>
          <w:u w:val="single" w:color="auto"/>
        </w:rPr>
        <w:t xml:space="preserve">      </w:t>
      </w:r>
      <w:r>
        <w:rPr>
          <w:rFonts w:ascii="宋体" w:hAnsi="宋体" w:eastAsia="宋体" w:cs="宋体"/>
          <w:spacing w:val="-3"/>
          <w:sz w:val="24"/>
          <w:szCs w:val="24"/>
          <w:highlight w:val="none"/>
          <w:u w:val="single" w:color="auto"/>
        </w:rPr>
        <w:t xml:space="preserve"> </w:t>
      </w:r>
      <w:r>
        <w:rPr>
          <w:rFonts w:ascii="宋体" w:hAnsi="宋体" w:eastAsia="宋体" w:cs="宋体"/>
          <w:spacing w:val="-107"/>
          <w:sz w:val="24"/>
          <w:szCs w:val="24"/>
          <w:highlight w:val="none"/>
        </w:rPr>
        <w:t xml:space="preserve"> </w:t>
      </w:r>
      <w:r>
        <w:rPr>
          <w:rFonts w:ascii="宋体" w:hAnsi="宋体" w:eastAsia="宋体" w:cs="宋体"/>
          <w:spacing w:val="-3"/>
          <w:sz w:val="24"/>
          <w:szCs w:val="24"/>
          <w:highlight w:val="none"/>
        </w:rPr>
        <w:t>维修类工程施</w:t>
      </w:r>
    </w:p>
    <w:p w14:paraId="3DCE37F8">
      <w:pPr>
        <w:spacing w:before="155" w:line="325" w:lineRule="auto"/>
        <w:ind w:right="3212" w:firstLine="2"/>
        <w:rPr>
          <w:rFonts w:ascii="宋体" w:hAnsi="宋体" w:eastAsia="宋体" w:cs="宋体"/>
          <w:sz w:val="24"/>
          <w:szCs w:val="24"/>
          <w:highlight w:val="none"/>
        </w:rPr>
      </w:pPr>
      <w:r>
        <w:rPr>
          <w:rFonts w:ascii="宋体" w:hAnsi="宋体" w:eastAsia="宋体" w:cs="宋体"/>
          <w:spacing w:val="-2"/>
          <w:sz w:val="24"/>
          <w:szCs w:val="24"/>
          <w:highlight w:val="none"/>
        </w:rPr>
        <w:t>工承包事宜协商一致，订立本合同，供双方共同遵照执</w:t>
      </w:r>
      <w:r>
        <w:rPr>
          <w:rFonts w:ascii="宋体" w:hAnsi="宋体" w:eastAsia="宋体" w:cs="宋体"/>
          <w:spacing w:val="-3"/>
          <w:sz w:val="24"/>
          <w:szCs w:val="24"/>
          <w:highlight w:val="none"/>
        </w:rPr>
        <w:t>行。</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第一条  项目概况</w:t>
      </w:r>
    </w:p>
    <w:p w14:paraId="236DF4DA">
      <w:pPr>
        <w:spacing w:before="34" w:line="213" w:lineRule="auto"/>
        <w:ind w:left="332"/>
        <w:rPr>
          <w:rFonts w:ascii="宋体" w:hAnsi="宋体" w:eastAsia="宋体" w:cs="宋体"/>
          <w:sz w:val="24"/>
          <w:szCs w:val="24"/>
          <w:highlight w:val="none"/>
        </w:rPr>
      </w:pPr>
      <w:r>
        <w:rPr>
          <w:rFonts w:ascii="宋体" w:hAnsi="宋体" w:eastAsia="宋体" w:cs="宋体"/>
          <w:spacing w:val="-1"/>
          <w:sz w:val="24"/>
          <w:szCs w:val="24"/>
          <w:highlight w:val="none"/>
        </w:rPr>
        <w:t>1、项目名称：理工职业学院 2025-2026 年零星维修入围采购（包号：______）</w:t>
      </w:r>
    </w:p>
    <w:p w14:paraId="1348F196">
      <w:pPr>
        <w:spacing w:before="166" w:line="219" w:lineRule="auto"/>
        <w:ind w:left="317"/>
        <w:rPr>
          <w:rFonts w:ascii="宋体" w:hAnsi="宋体" w:eastAsia="宋体" w:cs="宋体"/>
          <w:sz w:val="24"/>
          <w:szCs w:val="24"/>
          <w:highlight w:val="none"/>
        </w:rPr>
      </w:pPr>
      <w:r>
        <w:rPr>
          <w:rFonts w:ascii="宋体" w:hAnsi="宋体" w:eastAsia="宋体" w:cs="宋体"/>
          <w:spacing w:val="-4"/>
          <w:sz w:val="24"/>
          <w:szCs w:val="24"/>
          <w:highlight w:val="none"/>
        </w:rPr>
        <w:t>2、服务期：</w:t>
      </w:r>
      <w:r>
        <w:rPr>
          <w:rFonts w:ascii="宋体" w:hAnsi="宋体" w:eastAsia="宋体" w:cs="宋体"/>
          <w:spacing w:val="-58"/>
          <w:sz w:val="24"/>
          <w:szCs w:val="24"/>
          <w:highlight w:val="none"/>
        </w:rPr>
        <w:t xml:space="preserve"> </w:t>
      </w:r>
      <w:r>
        <w:rPr>
          <w:rFonts w:ascii="宋体" w:hAnsi="宋体" w:eastAsia="宋体" w:cs="宋体"/>
          <w:spacing w:val="-4"/>
          <w:sz w:val="24"/>
          <w:szCs w:val="24"/>
          <w:highlight w:val="none"/>
        </w:rPr>
        <w:t>自合同签订之日起 2 年。</w:t>
      </w:r>
    </w:p>
    <w:p w14:paraId="65C99EB8">
      <w:pPr>
        <w:spacing w:before="153" w:line="279" w:lineRule="auto"/>
        <w:ind w:right="2778" w:firstLine="319"/>
        <w:rPr>
          <w:rFonts w:ascii="宋体" w:hAnsi="宋体" w:eastAsia="宋体" w:cs="宋体"/>
          <w:sz w:val="24"/>
          <w:szCs w:val="24"/>
          <w:highlight w:val="none"/>
        </w:rPr>
      </w:pPr>
      <w:r>
        <w:rPr>
          <w:rFonts w:ascii="宋体" w:hAnsi="宋体" w:eastAsia="宋体" w:cs="宋体"/>
          <w:spacing w:val="-2"/>
          <w:sz w:val="24"/>
          <w:szCs w:val="24"/>
          <w:highlight w:val="none"/>
        </w:rPr>
        <w:t>3、服务地点：甲方指定地点（重庆理工职业学院校园内）。</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第二条 服务内容</w:t>
      </w:r>
    </w:p>
    <w:p w14:paraId="5226DC89">
      <w:pPr>
        <w:spacing w:before="156"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乙方按比选文件要求，提供（包号对应维修类别）的零星维修服务，包括但不限于：</w:t>
      </w:r>
    </w:p>
    <w:p w14:paraId="481A21CD">
      <w:pPr>
        <w:spacing w:before="155" w:line="219" w:lineRule="auto"/>
        <w:ind w:left="497"/>
        <w:rPr>
          <w:rFonts w:ascii="宋体" w:hAnsi="宋体" w:eastAsia="宋体" w:cs="宋体"/>
          <w:sz w:val="24"/>
          <w:szCs w:val="24"/>
          <w:highlight w:val="none"/>
        </w:rPr>
      </w:pPr>
      <w:r>
        <w:rPr>
          <w:rFonts w:ascii="宋体" w:hAnsi="宋体" w:eastAsia="宋体" w:cs="宋体"/>
          <w:spacing w:val="-1"/>
          <w:sz w:val="24"/>
          <w:szCs w:val="24"/>
          <w:highlight w:val="none"/>
        </w:rPr>
        <w:t>1、具体维修项目及技术标准按比选文件 “第二篇项目服务需</w:t>
      </w:r>
      <w:r>
        <w:rPr>
          <w:rFonts w:ascii="宋体" w:hAnsi="宋体" w:eastAsia="宋体" w:cs="宋体"/>
          <w:spacing w:val="-2"/>
          <w:sz w:val="24"/>
          <w:szCs w:val="24"/>
          <w:highlight w:val="none"/>
        </w:rPr>
        <w:t>求</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pacing w:val="-23"/>
          <w:sz w:val="24"/>
          <w:szCs w:val="24"/>
          <w:highlight w:val="none"/>
        </w:rPr>
        <w:t xml:space="preserve"> </w:t>
      </w:r>
      <w:r>
        <w:rPr>
          <w:rFonts w:ascii="宋体" w:hAnsi="宋体" w:eastAsia="宋体" w:cs="宋体"/>
          <w:spacing w:val="-2"/>
          <w:sz w:val="24"/>
          <w:szCs w:val="24"/>
          <w:highlight w:val="none"/>
        </w:rPr>
        <w:t>执行；</w:t>
      </w:r>
    </w:p>
    <w:p w14:paraId="4361C498">
      <w:pPr>
        <w:spacing w:before="154" w:line="279" w:lineRule="auto"/>
        <w:ind w:right="1652" w:firstLine="482"/>
        <w:rPr>
          <w:rFonts w:ascii="宋体" w:hAnsi="宋体" w:eastAsia="宋体" w:cs="宋体"/>
          <w:sz w:val="24"/>
          <w:szCs w:val="24"/>
          <w:highlight w:val="none"/>
        </w:rPr>
      </w:pPr>
      <w:r>
        <w:rPr>
          <w:rFonts w:ascii="宋体" w:hAnsi="宋体" w:eastAsia="宋体" w:cs="宋体"/>
          <w:spacing w:val="-2"/>
          <w:sz w:val="24"/>
          <w:szCs w:val="24"/>
          <w:highlight w:val="none"/>
        </w:rPr>
        <w:t>2、响应时间、人员资质、安全文明施工等要求按比选文件约定执行。</w:t>
      </w:r>
      <w:r>
        <w:rPr>
          <w:rFonts w:ascii="宋体" w:hAnsi="宋体" w:eastAsia="宋体" w:cs="宋体"/>
          <w:spacing w:val="8"/>
          <w:sz w:val="24"/>
          <w:szCs w:val="24"/>
          <w:highlight w:val="none"/>
        </w:rPr>
        <w:t xml:space="preserve"> </w:t>
      </w:r>
      <w:r>
        <w:rPr>
          <w:rFonts w:ascii="宋体" w:hAnsi="宋体" w:eastAsia="宋体" w:cs="宋体"/>
          <w:spacing w:val="-1"/>
          <w:sz w:val="24"/>
          <w:szCs w:val="24"/>
          <w:highlight w:val="none"/>
        </w:rPr>
        <w:t>第三条 计价结算原则</w:t>
      </w:r>
    </w:p>
    <w:p w14:paraId="59BC6E11">
      <w:pPr>
        <w:spacing w:before="156" w:line="218" w:lineRule="auto"/>
        <w:ind w:left="11"/>
        <w:rPr>
          <w:rFonts w:ascii="宋体" w:hAnsi="宋体" w:eastAsia="宋体" w:cs="宋体"/>
          <w:sz w:val="24"/>
          <w:szCs w:val="24"/>
          <w:highlight w:val="none"/>
        </w:rPr>
      </w:pPr>
      <w:r>
        <w:rPr>
          <w:rFonts w:ascii="宋体" w:hAnsi="宋体" w:eastAsia="宋体" w:cs="宋体"/>
          <w:spacing w:val="-3"/>
          <w:sz w:val="24"/>
          <w:szCs w:val="24"/>
          <w:highlight w:val="none"/>
        </w:rPr>
        <w:t>（一）计价原则</w:t>
      </w:r>
    </w:p>
    <w:p w14:paraId="77569F50">
      <w:pPr>
        <w:spacing w:before="156" w:line="219"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每个包都以包工包料、包质量、包工期、包风险、包</w:t>
      </w:r>
      <w:r>
        <w:rPr>
          <w:rFonts w:ascii="宋体" w:hAnsi="宋体" w:eastAsia="宋体" w:cs="宋体"/>
          <w:spacing w:val="-2"/>
          <w:sz w:val="24"/>
          <w:szCs w:val="24"/>
          <w:highlight w:val="none"/>
        </w:rPr>
        <w:t>优化维修方案以甲方认可为准、</w:t>
      </w:r>
    </w:p>
    <w:p w14:paraId="6F4A0CA2">
      <w:pPr>
        <w:spacing w:line="219" w:lineRule="auto"/>
        <w:rPr>
          <w:rFonts w:ascii="宋体" w:hAnsi="宋体" w:eastAsia="宋体" w:cs="宋体"/>
          <w:sz w:val="24"/>
          <w:szCs w:val="24"/>
          <w:highlight w:val="none"/>
        </w:rPr>
        <w:sectPr>
          <w:footerReference r:id="rId17" w:type="default"/>
          <w:pgSz w:w="11907" w:h="16840"/>
          <w:pgMar w:top="820" w:right="1190" w:bottom="1200" w:left="1312" w:header="0" w:footer="996" w:gutter="0"/>
          <w:cols w:space="720" w:num="1"/>
        </w:sectPr>
      </w:pPr>
    </w:p>
    <w:p w14:paraId="3D787A4A">
      <w:pPr>
        <w:spacing w:before="43" w:line="345" w:lineRule="auto"/>
        <w:ind w:right="61" w:firstLine="31"/>
        <w:jc w:val="both"/>
        <w:rPr>
          <w:rFonts w:ascii="宋体" w:hAnsi="宋体" w:eastAsia="宋体" w:cs="宋体"/>
          <w:sz w:val="24"/>
          <w:szCs w:val="24"/>
          <w:highlight w:val="none"/>
        </w:rPr>
      </w:pPr>
      <w:r>
        <w:rPr>
          <w:rFonts w:hint="eastAsia" w:ascii="仿宋" w:hAnsi="仿宋" w:eastAsia="仿宋" w:cs="仿宋"/>
          <w:spacing w:val="5"/>
          <w:sz w:val="20"/>
          <w:szCs w:val="20"/>
          <w:highlight w:val="none"/>
          <w:lang w:eastAsia="zh-CN"/>
        </w:rPr>
        <w:t xml:space="preserve"> </w:t>
      </w:r>
      <w:r>
        <w:rPr>
          <w:rFonts w:ascii="仿宋" w:hAnsi="仿宋" w:eastAsia="仿宋" w:cs="仿宋"/>
          <w:sz w:val="20"/>
          <w:szCs w:val="20"/>
          <w:highlight w:val="none"/>
        </w:rPr>
        <w:t xml:space="preserve"> </w:t>
      </w:r>
      <w:r>
        <w:rPr>
          <w:rFonts w:ascii="宋体" w:hAnsi="宋体" w:eastAsia="宋体" w:cs="宋体"/>
          <w:spacing w:val="1"/>
          <w:sz w:val="24"/>
          <w:szCs w:val="24"/>
          <w:highlight w:val="none"/>
        </w:rPr>
        <w:t>包安全文明施工、包竣工资料的交钥匙工程的形式由乙方承包维修。所有包中的水电费均</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按结算总价的</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0.2%在结算中扣减。</w:t>
      </w:r>
    </w:p>
    <w:p w14:paraId="0991CD7E">
      <w:pPr>
        <w:spacing w:before="26" w:line="219" w:lineRule="auto"/>
        <w:ind w:left="11"/>
        <w:rPr>
          <w:rFonts w:ascii="宋体" w:hAnsi="宋体" w:eastAsia="宋体" w:cs="宋体"/>
          <w:sz w:val="24"/>
          <w:szCs w:val="24"/>
          <w:highlight w:val="none"/>
        </w:rPr>
      </w:pPr>
      <w:r>
        <w:rPr>
          <w:rFonts w:ascii="宋体" w:hAnsi="宋体" w:eastAsia="宋体" w:cs="宋体"/>
          <w:spacing w:val="-3"/>
          <w:sz w:val="24"/>
          <w:szCs w:val="24"/>
          <w:highlight w:val="none"/>
        </w:rPr>
        <w:t>（二）结算依据</w:t>
      </w:r>
    </w:p>
    <w:p w14:paraId="4C872878">
      <w:pPr>
        <w:spacing w:before="154" w:line="324" w:lineRule="auto"/>
        <w:ind w:right="61" w:firstLine="479"/>
        <w:rPr>
          <w:rFonts w:ascii="宋体" w:hAnsi="宋体" w:eastAsia="宋体" w:cs="宋体"/>
          <w:sz w:val="24"/>
          <w:szCs w:val="24"/>
          <w:highlight w:val="none"/>
        </w:rPr>
      </w:pPr>
      <w:r>
        <w:rPr>
          <w:rFonts w:ascii="宋体" w:hAnsi="宋体" w:eastAsia="宋体" w:cs="宋体"/>
          <w:sz w:val="24"/>
          <w:szCs w:val="24"/>
          <w:highlight w:val="none"/>
        </w:rPr>
        <w:t>清单内项目：按比选文件发布的《维修类计价清单》中 “综合单价限价</w:t>
      </w:r>
      <w:r>
        <w:rPr>
          <w:rFonts w:ascii="宋体" w:hAnsi="宋体" w:eastAsia="宋体" w:cs="宋体"/>
          <w:spacing w:val="-78"/>
          <w:sz w:val="24"/>
          <w:szCs w:val="24"/>
          <w:highlight w:val="none"/>
        </w:rPr>
        <w:t xml:space="preserve"> </w:t>
      </w:r>
      <w:r>
        <w:rPr>
          <w:rFonts w:ascii="宋体" w:hAnsi="宋体" w:eastAsia="宋体" w:cs="宋体"/>
          <w:sz w:val="24"/>
          <w:szCs w:val="24"/>
          <w:highlight w:val="none"/>
        </w:rPr>
        <w:t xml:space="preserve">” 作为基准 </w:t>
      </w:r>
      <w:r>
        <w:rPr>
          <w:rFonts w:ascii="宋体" w:hAnsi="宋体" w:eastAsia="宋体" w:cs="宋体"/>
          <w:spacing w:val="-5"/>
          <w:sz w:val="24"/>
          <w:szCs w:val="24"/>
          <w:highlight w:val="none"/>
        </w:rPr>
        <w:t>价，结算金额 =（基准价</w:t>
      </w:r>
      <w:r>
        <w:rPr>
          <w:rFonts w:ascii="宋体" w:hAnsi="宋体" w:eastAsia="宋体" w:cs="宋体"/>
          <w:spacing w:val="43"/>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32"/>
          <w:sz w:val="24"/>
          <w:szCs w:val="24"/>
          <w:highlight w:val="none"/>
        </w:rPr>
        <w:t xml:space="preserve"> </w:t>
      </w:r>
      <w:r>
        <w:rPr>
          <w:rFonts w:ascii="宋体" w:hAnsi="宋体" w:eastAsia="宋体" w:cs="宋体"/>
          <w:spacing w:val="-5"/>
          <w:sz w:val="24"/>
          <w:szCs w:val="24"/>
          <w:highlight w:val="none"/>
        </w:rPr>
        <w:t>中选折扣）</w:t>
      </w:r>
      <w:r>
        <w:rPr>
          <w:rFonts w:ascii="宋体" w:hAnsi="宋体" w:eastAsia="宋体" w:cs="宋体"/>
          <w:spacing w:val="-77"/>
          <w:sz w:val="24"/>
          <w:szCs w:val="24"/>
          <w:highlight w:val="none"/>
        </w:rPr>
        <w:t xml:space="preserve"> </w:t>
      </w:r>
      <w:r>
        <w:rPr>
          <w:rFonts w:ascii="宋体" w:hAnsi="宋体" w:eastAsia="宋体" w:cs="宋体"/>
          <w:spacing w:val="-5"/>
          <w:sz w:val="24"/>
          <w:szCs w:val="24"/>
          <w:highlight w:val="none"/>
        </w:rPr>
        <w:t xml:space="preserve">× </w:t>
      </w:r>
      <w:r>
        <w:rPr>
          <w:rFonts w:ascii="宋体" w:hAnsi="宋体" w:eastAsia="宋体" w:cs="宋体"/>
          <w:spacing w:val="-6"/>
          <w:sz w:val="24"/>
          <w:szCs w:val="24"/>
          <w:highlight w:val="none"/>
        </w:rPr>
        <w:t>实际数量。</w:t>
      </w:r>
    </w:p>
    <w:p w14:paraId="6C1BE8E6">
      <w:pPr>
        <w:spacing w:before="37" w:line="279" w:lineRule="auto"/>
        <w:ind w:left="1" w:firstLine="495"/>
        <w:rPr>
          <w:rFonts w:ascii="宋体" w:hAnsi="宋体" w:eastAsia="宋体" w:cs="宋体"/>
          <w:sz w:val="24"/>
          <w:szCs w:val="24"/>
          <w:highlight w:val="none"/>
        </w:rPr>
      </w:pPr>
      <w:r>
        <w:rPr>
          <w:rFonts w:ascii="宋体" w:hAnsi="宋体" w:eastAsia="宋体" w:cs="宋体"/>
          <w:spacing w:val="-4"/>
          <w:sz w:val="24"/>
          <w:szCs w:val="24"/>
          <w:highlight w:val="none"/>
        </w:rPr>
        <w:t>1、单个维修项目总限价在 0-1.5 万元（含）的部分，按乙方响应的对应折扣率结算，</w:t>
      </w:r>
      <w:r>
        <w:rPr>
          <w:rFonts w:ascii="宋体" w:hAnsi="宋体" w:eastAsia="宋体" w:cs="宋体"/>
          <w:spacing w:val="14"/>
          <w:sz w:val="24"/>
          <w:szCs w:val="24"/>
          <w:highlight w:val="none"/>
        </w:rPr>
        <w:t xml:space="preserve"> </w:t>
      </w:r>
      <w:r>
        <w:rPr>
          <w:rFonts w:ascii="宋体" w:hAnsi="宋体" w:eastAsia="宋体" w:cs="宋体"/>
          <w:spacing w:val="-1"/>
          <w:sz w:val="24"/>
          <w:szCs w:val="24"/>
          <w:highlight w:val="none"/>
        </w:rPr>
        <w:t>折扣率为</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w:t>
      </w:r>
    </w:p>
    <w:p w14:paraId="566F291A">
      <w:pPr>
        <w:spacing w:before="152" w:line="280" w:lineRule="auto"/>
        <w:ind w:left="1" w:right="61" w:firstLine="480"/>
        <w:rPr>
          <w:rFonts w:ascii="宋体" w:hAnsi="宋体" w:eastAsia="宋体" w:cs="宋体"/>
          <w:sz w:val="24"/>
          <w:szCs w:val="24"/>
          <w:highlight w:val="none"/>
        </w:rPr>
      </w:pPr>
      <w:r>
        <w:rPr>
          <w:rFonts w:ascii="宋体" w:hAnsi="宋体" w:eastAsia="宋体" w:cs="宋体"/>
          <w:spacing w:val="-2"/>
          <w:sz w:val="24"/>
          <w:szCs w:val="24"/>
          <w:highlight w:val="none"/>
        </w:rPr>
        <w:t>2、单个维修项目总限价在 1.5 万元（不含）-3 万元的部分，按乙方响应的对应折扣</w:t>
      </w:r>
      <w:r>
        <w:rPr>
          <w:rFonts w:ascii="宋体" w:hAnsi="宋体" w:eastAsia="宋体" w:cs="宋体"/>
          <w:spacing w:val="3"/>
          <w:sz w:val="24"/>
          <w:szCs w:val="24"/>
          <w:highlight w:val="none"/>
        </w:rPr>
        <w:t xml:space="preserve"> </w:t>
      </w:r>
      <w:r>
        <w:rPr>
          <w:rFonts w:ascii="宋体" w:hAnsi="宋体" w:eastAsia="宋体" w:cs="宋体"/>
          <w:spacing w:val="-1"/>
          <w:sz w:val="24"/>
          <w:szCs w:val="24"/>
          <w:highlight w:val="none"/>
        </w:rPr>
        <w:t>率结算，折扣率为</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w:t>
      </w:r>
    </w:p>
    <w:p w14:paraId="615EE2A3">
      <w:pPr>
        <w:spacing w:before="154" w:line="299" w:lineRule="auto"/>
        <w:ind w:left="3" w:right="61" w:firstLine="480"/>
        <w:rPr>
          <w:rFonts w:ascii="宋体" w:hAnsi="宋体" w:eastAsia="宋体" w:cs="宋体"/>
          <w:sz w:val="24"/>
          <w:szCs w:val="24"/>
          <w:highlight w:val="none"/>
        </w:rPr>
      </w:pPr>
      <w:r>
        <w:rPr>
          <w:rFonts w:ascii="宋体" w:hAnsi="宋体" w:eastAsia="宋体" w:cs="宋体"/>
          <w:spacing w:val="-2"/>
          <w:sz w:val="24"/>
          <w:szCs w:val="24"/>
          <w:highlight w:val="none"/>
        </w:rPr>
        <w:t>3、清单外项目：由乙方报价，经甲方审核后确定基准价，按上述折扣</w:t>
      </w:r>
      <w:r>
        <w:rPr>
          <w:rFonts w:ascii="宋体" w:hAnsi="宋体" w:eastAsia="宋体" w:cs="宋体"/>
          <w:spacing w:val="-3"/>
          <w:sz w:val="24"/>
          <w:szCs w:val="24"/>
          <w:highlight w:val="none"/>
        </w:rPr>
        <w:t>规则结算。清单</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外乙方报送甲方核价签字后方可进行维修作业；如未核价自行维修清单外内容，甲方有权</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不支付费用及恢复原状。</w:t>
      </w:r>
    </w:p>
    <w:p w14:paraId="6A179DA0">
      <w:pPr>
        <w:spacing w:before="153" w:line="279" w:lineRule="auto"/>
        <w:ind w:left="2" w:right="61" w:firstLine="476"/>
        <w:rPr>
          <w:rFonts w:ascii="宋体" w:hAnsi="宋体" w:eastAsia="宋体" w:cs="宋体"/>
          <w:sz w:val="24"/>
          <w:szCs w:val="24"/>
          <w:highlight w:val="none"/>
        </w:rPr>
      </w:pPr>
      <w:r>
        <w:rPr>
          <w:rFonts w:ascii="宋体" w:hAnsi="宋体" w:eastAsia="宋体" w:cs="宋体"/>
          <w:spacing w:val="-2"/>
          <w:sz w:val="24"/>
          <w:szCs w:val="24"/>
          <w:highlight w:val="none"/>
        </w:rPr>
        <w:t>4、折扣应用：乙方应严格按投标响应的 “0-1.5</w:t>
      </w:r>
      <w:r>
        <w:rPr>
          <w:rFonts w:ascii="宋体" w:hAnsi="宋体" w:eastAsia="宋体" w:cs="宋体"/>
          <w:spacing w:val="-3"/>
          <w:sz w:val="24"/>
          <w:szCs w:val="24"/>
          <w:highlight w:val="none"/>
        </w:rPr>
        <w:t xml:space="preserve"> 万元</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”“1.5-3 万元</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两档折扣率</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分别结算，不得混算；结算总金额按四舍五入保留两位小数。</w:t>
      </w:r>
    </w:p>
    <w:p w14:paraId="22274051">
      <w:pPr>
        <w:spacing w:before="156" w:line="221" w:lineRule="auto"/>
        <w:ind w:left="11"/>
        <w:rPr>
          <w:rFonts w:ascii="宋体" w:hAnsi="宋体" w:eastAsia="宋体" w:cs="宋体"/>
          <w:sz w:val="24"/>
          <w:szCs w:val="24"/>
          <w:highlight w:val="none"/>
        </w:rPr>
      </w:pPr>
      <w:r>
        <w:rPr>
          <w:rFonts w:ascii="宋体" w:hAnsi="宋体" w:eastAsia="宋体" w:cs="宋体"/>
          <w:spacing w:val="-3"/>
          <w:sz w:val="24"/>
          <w:szCs w:val="24"/>
          <w:highlight w:val="none"/>
        </w:rPr>
        <w:t>（三）计量方式</w:t>
      </w:r>
    </w:p>
    <w:p w14:paraId="281A2985">
      <w:pPr>
        <w:spacing w:before="153" w:line="219" w:lineRule="auto"/>
        <w:ind w:left="497"/>
        <w:rPr>
          <w:rFonts w:ascii="宋体" w:hAnsi="宋体" w:eastAsia="宋体" w:cs="宋体"/>
          <w:sz w:val="24"/>
          <w:szCs w:val="24"/>
          <w:highlight w:val="none"/>
        </w:rPr>
      </w:pPr>
      <w:r>
        <w:rPr>
          <w:rFonts w:ascii="宋体" w:hAnsi="宋体" w:eastAsia="宋体" w:cs="宋体"/>
          <w:spacing w:val="-1"/>
          <w:sz w:val="24"/>
          <w:szCs w:val="24"/>
          <w:highlight w:val="none"/>
        </w:rPr>
        <w:t>1、维修工程量以实际发生并经甲方签字确认的《维修申请单》《验收单》为准；</w:t>
      </w:r>
    </w:p>
    <w:p w14:paraId="785F54FD">
      <w:pPr>
        <w:spacing w:before="155"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2、隐蔽工程需经甲方 2 人以上验收签字后方可计入结算。</w:t>
      </w:r>
    </w:p>
    <w:p w14:paraId="23337F8B">
      <w:pPr>
        <w:spacing w:before="156" w:line="219" w:lineRule="auto"/>
        <w:ind w:left="11"/>
        <w:rPr>
          <w:rFonts w:ascii="宋体" w:hAnsi="宋体" w:eastAsia="宋体" w:cs="宋体"/>
          <w:sz w:val="24"/>
          <w:szCs w:val="24"/>
          <w:highlight w:val="none"/>
        </w:rPr>
      </w:pPr>
      <w:r>
        <w:rPr>
          <w:rFonts w:ascii="宋体" w:hAnsi="宋体" w:eastAsia="宋体" w:cs="宋体"/>
          <w:spacing w:val="-3"/>
          <w:sz w:val="24"/>
          <w:szCs w:val="24"/>
          <w:highlight w:val="none"/>
        </w:rPr>
        <w:t>（四）结算流程</w:t>
      </w:r>
    </w:p>
    <w:p w14:paraId="00250D22">
      <w:pPr>
        <w:spacing w:before="154" w:line="219" w:lineRule="auto"/>
        <w:ind w:left="497"/>
        <w:rPr>
          <w:rFonts w:ascii="宋体" w:hAnsi="宋体" w:eastAsia="宋体" w:cs="宋体"/>
          <w:sz w:val="24"/>
          <w:szCs w:val="24"/>
          <w:highlight w:val="none"/>
        </w:rPr>
      </w:pPr>
      <w:r>
        <w:rPr>
          <w:rFonts w:ascii="宋体" w:hAnsi="宋体" w:eastAsia="宋体" w:cs="宋体"/>
          <w:spacing w:val="-1"/>
          <w:sz w:val="24"/>
          <w:szCs w:val="24"/>
          <w:highlight w:val="none"/>
        </w:rPr>
        <w:t>1、乙方每月提交上月维修结算清单，经甲方审核确认后作为付款依据；</w:t>
      </w:r>
    </w:p>
    <w:p w14:paraId="5A6AF05F">
      <w:pPr>
        <w:spacing w:before="154" w:line="280" w:lineRule="auto"/>
        <w:ind w:right="1474" w:firstLine="482"/>
        <w:rPr>
          <w:rFonts w:ascii="宋体" w:hAnsi="宋体" w:eastAsia="宋体" w:cs="宋体"/>
          <w:sz w:val="24"/>
          <w:szCs w:val="24"/>
          <w:highlight w:val="none"/>
        </w:rPr>
      </w:pPr>
      <w:r>
        <w:rPr>
          <w:rFonts w:ascii="宋体" w:hAnsi="宋体" w:eastAsia="宋体" w:cs="宋体"/>
          <w:spacing w:val="-2"/>
          <w:sz w:val="24"/>
          <w:szCs w:val="24"/>
          <w:highlight w:val="none"/>
        </w:rPr>
        <w:t>2、甲方在收到乙方结算申请及合规票据后，按付款方式约定支付款项。</w:t>
      </w:r>
      <w:r>
        <w:rPr>
          <w:rFonts w:ascii="宋体" w:hAnsi="宋体" w:eastAsia="宋体" w:cs="宋体"/>
          <w:spacing w:val="10"/>
          <w:sz w:val="24"/>
          <w:szCs w:val="24"/>
          <w:highlight w:val="none"/>
        </w:rPr>
        <w:t xml:space="preserve"> </w:t>
      </w:r>
      <w:r>
        <w:rPr>
          <w:rFonts w:ascii="宋体" w:hAnsi="宋体" w:eastAsia="宋体" w:cs="宋体"/>
          <w:spacing w:val="-1"/>
          <w:sz w:val="24"/>
          <w:szCs w:val="24"/>
          <w:highlight w:val="none"/>
        </w:rPr>
        <w:t>第四条 付款条件及方式</w:t>
      </w:r>
    </w:p>
    <w:p w14:paraId="3B158B1D">
      <w:pPr>
        <w:spacing w:before="153" w:line="187" w:lineRule="auto"/>
        <w:ind w:left="258"/>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1</w:t>
      </w:r>
      <w:r>
        <w:rPr>
          <w:rFonts w:ascii="Times New Roman" w:hAnsi="Times New Roman" w:eastAsia="Times New Roman" w:cs="Times New Roman"/>
          <w:spacing w:val="-30"/>
          <w:sz w:val="24"/>
          <w:szCs w:val="24"/>
          <w:highlight w:val="none"/>
        </w:rPr>
        <w:t xml:space="preserve"> </w:t>
      </w:r>
      <w:r>
        <w:rPr>
          <w:rFonts w:ascii="微软雅黑" w:hAnsi="微软雅黑" w:eastAsia="微软雅黑" w:cs="微软雅黑"/>
          <w:spacing w:val="-6"/>
          <w:sz w:val="24"/>
          <w:szCs w:val="24"/>
          <w:highlight w:val="none"/>
        </w:rPr>
        <w:t>、</w:t>
      </w:r>
      <w:r>
        <w:rPr>
          <w:rFonts w:ascii="宋体" w:hAnsi="宋体" w:eastAsia="宋体" w:cs="宋体"/>
          <w:spacing w:val="-6"/>
          <w:sz w:val="24"/>
          <w:szCs w:val="24"/>
          <w:highlight w:val="none"/>
        </w:rPr>
        <w:t>维修费支付条件：</w:t>
      </w:r>
    </w:p>
    <w:p w14:paraId="48D1D856">
      <w:pPr>
        <w:spacing w:before="120" w:line="326" w:lineRule="auto"/>
        <w:ind w:right="61" w:firstLine="482"/>
        <w:rPr>
          <w:rFonts w:ascii="宋体" w:hAnsi="宋体" w:eastAsia="宋体" w:cs="宋体"/>
          <w:sz w:val="24"/>
          <w:szCs w:val="24"/>
          <w:highlight w:val="none"/>
        </w:rPr>
      </w:pPr>
      <w:r>
        <w:rPr>
          <w:rFonts w:ascii="宋体" w:hAnsi="宋体" w:eastAsia="宋体" w:cs="宋体"/>
          <w:spacing w:val="1"/>
          <w:sz w:val="24"/>
          <w:szCs w:val="24"/>
          <w:highlight w:val="none"/>
        </w:rPr>
        <w:t xml:space="preserve">维修项目经甲方验收合格。现场收方、签证、认质核价、竣工验收，结算资料按甲方 </w:t>
      </w:r>
      <w:r>
        <w:rPr>
          <w:rFonts w:ascii="宋体" w:hAnsi="宋体" w:eastAsia="宋体" w:cs="宋体"/>
          <w:spacing w:val="-2"/>
          <w:sz w:val="24"/>
          <w:szCs w:val="24"/>
          <w:highlight w:val="none"/>
        </w:rPr>
        <w:t>要求的必备资料齐全。</w:t>
      </w:r>
    </w:p>
    <w:p w14:paraId="3D30A11E">
      <w:pPr>
        <w:spacing w:before="32" w:line="187" w:lineRule="auto"/>
        <w:ind w:left="235"/>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2</w:t>
      </w:r>
      <w:r>
        <w:rPr>
          <w:rFonts w:ascii="Times New Roman" w:hAnsi="Times New Roman" w:eastAsia="Times New Roman" w:cs="Times New Roman"/>
          <w:spacing w:val="-26"/>
          <w:sz w:val="24"/>
          <w:szCs w:val="24"/>
          <w:highlight w:val="none"/>
        </w:rPr>
        <w:t xml:space="preserve"> </w:t>
      </w:r>
      <w:r>
        <w:rPr>
          <w:rFonts w:ascii="微软雅黑" w:hAnsi="微软雅黑" w:eastAsia="微软雅黑" w:cs="微软雅黑"/>
          <w:spacing w:val="-4"/>
          <w:sz w:val="24"/>
          <w:szCs w:val="24"/>
          <w:highlight w:val="none"/>
        </w:rPr>
        <w:t>、</w:t>
      </w:r>
      <w:r>
        <w:rPr>
          <w:rFonts w:ascii="宋体" w:hAnsi="宋体" w:eastAsia="宋体" w:cs="宋体"/>
          <w:spacing w:val="-4"/>
          <w:sz w:val="24"/>
          <w:szCs w:val="24"/>
          <w:highlight w:val="none"/>
        </w:rPr>
        <w:t>维修费按每年 2</w:t>
      </w:r>
      <w:r>
        <w:rPr>
          <w:rFonts w:ascii="宋体" w:hAnsi="宋体" w:eastAsia="宋体" w:cs="宋体"/>
          <w:spacing w:val="15"/>
          <w:sz w:val="24"/>
          <w:szCs w:val="24"/>
          <w:highlight w:val="none"/>
        </w:rPr>
        <w:t xml:space="preserve"> </w:t>
      </w:r>
      <w:r>
        <w:rPr>
          <w:rFonts w:ascii="宋体" w:hAnsi="宋体" w:eastAsia="宋体" w:cs="宋体"/>
          <w:spacing w:val="-4"/>
          <w:sz w:val="24"/>
          <w:szCs w:val="24"/>
          <w:highlight w:val="none"/>
        </w:rPr>
        <w:t>次支付：</w:t>
      </w:r>
    </w:p>
    <w:p w14:paraId="05F47B84">
      <w:pPr>
        <w:spacing w:before="119" w:line="219" w:lineRule="auto"/>
        <w:ind w:left="482"/>
        <w:rPr>
          <w:rFonts w:ascii="宋体" w:hAnsi="宋体" w:eastAsia="宋体" w:cs="宋体"/>
          <w:sz w:val="24"/>
          <w:szCs w:val="24"/>
          <w:highlight w:val="none"/>
        </w:rPr>
      </w:pPr>
      <w:r>
        <w:rPr>
          <w:rFonts w:ascii="宋体" w:hAnsi="宋体" w:eastAsia="宋体" w:cs="宋体"/>
          <w:spacing w:val="-8"/>
          <w:sz w:val="24"/>
          <w:szCs w:val="24"/>
          <w:highlight w:val="none"/>
        </w:rPr>
        <w:t>2.1、3 月</w:t>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1</w:t>
      </w:r>
      <w:r>
        <w:rPr>
          <w:rFonts w:ascii="宋体" w:hAnsi="宋体" w:eastAsia="宋体" w:cs="宋体"/>
          <w:spacing w:val="50"/>
          <w:sz w:val="24"/>
          <w:szCs w:val="24"/>
          <w:highlight w:val="none"/>
        </w:rPr>
        <w:t xml:space="preserve"> </w:t>
      </w:r>
      <w:r>
        <w:rPr>
          <w:rFonts w:ascii="宋体" w:hAnsi="宋体" w:eastAsia="宋体" w:cs="宋体"/>
          <w:spacing w:val="-8"/>
          <w:sz w:val="24"/>
          <w:szCs w:val="24"/>
          <w:highlight w:val="none"/>
        </w:rPr>
        <w:t>日至 9 月</w:t>
      </w:r>
      <w:r>
        <w:rPr>
          <w:rFonts w:ascii="宋体" w:hAnsi="宋体" w:eastAsia="宋体" w:cs="宋体"/>
          <w:spacing w:val="28"/>
          <w:sz w:val="24"/>
          <w:szCs w:val="24"/>
          <w:highlight w:val="none"/>
        </w:rPr>
        <w:t xml:space="preserve"> </w:t>
      </w:r>
      <w:r>
        <w:rPr>
          <w:rFonts w:ascii="宋体" w:hAnsi="宋体" w:eastAsia="宋体" w:cs="宋体"/>
          <w:spacing w:val="-8"/>
          <w:sz w:val="24"/>
          <w:szCs w:val="24"/>
          <w:highlight w:val="none"/>
        </w:rPr>
        <w:t>1</w:t>
      </w:r>
      <w:r>
        <w:rPr>
          <w:rFonts w:ascii="宋体" w:hAnsi="宋体" w:eastAsia="宋体" w:cs="宋体"/>
          <w:spacing w:val="50"/>
          <w:sz w:val="24"/>
          <w:szCs w:val="24"/>
          <w:highlight w:val="none"/>
        </w:rPr>
        <w:t xml:space="preserve"> </w:t>
      </w:r>
      <w:r>
        <w:rPr>
          <w:rFonts w:ascii="宋体" w:hAnsi="宋体" w:eastAsia="宋体" w:cs="宋体"/>
          <w:spacing w:val="-8"/>
          <w:sz w:val="24"/>
          <w:szCs w:val="24"/>
          <w:highlight w:val="none"/>
        </w:rPr>
        <w:t>日期间的维修费，在当年</w:t>
      </w:r>
      <w:r>
        <w:rPr>
          <w:rFonts w:ascii="宋体" w:hAnsi="宋体" w:eastAsia="宋体" w:cs="宋体"/>
          <w:spacing w:val="27"/>
          <w:sz w:val="24"/>
          <w:szCs w:val="24"/>
          <w:highlight w:val="none"/>
        </w:rPr>
        <w:t xml:space="preserve"> </w:t>
      </w:r>
      <w:r>
        <w:rPr>
          <w:rFonts w:ascii="宋体" w:hAnsi="宋体" w:eastAsia="宋体" w:cs="宋体"/>
          <w:spacing w:val="-8"/>
          <w:sz w:val="24"/>
          <w:szCs w:val="24"/>
          <w:highlight w:val="none"/>
        </w:rPr>
        <w:t>10</w:t>
      </w:r>
      <w:r>
        <w:rPr>
          <w:rFonts w:ascii="宋体" w:hAnsi="宋体" w:eastAsia="宋体" w:cs="宋体"/>
          <w:spacing w:val="15"/>
          <w:sz w:val="24"/>
          <w:szCs w:val="24"/>
          <w:highlight w:val="none"/>
        </w:rPr>
        <w:t xml:space="preserve"> </w:t>
      </w:r>
      <w:r>
        <w:rPr>
          <w:rFonts w:ascii="宋体" w:hAnsi="宋体" w:eastAsia="宋体" w:cs="宋体"/>
          <w:spacing w:val="-8"/>
          <w:sz w:val="24"/>
          <w:szCs w:val="24"/>
          <w:highlight w:val="none"/>
        </w:rPr>
        <w:t>月</w:t>
      </w:r>
      <w:r>
        <w:rPr>
          <w:rFonts w:ascii="宋体" w:hAnsi="宋体" w:eastAsia="宋体" w:cs="宋体"/>
          <w:spacing w:val="15"/>
          <w:sz w:val="24"/>
          <w:szCs w:val="24"/>
          <w:highlight w:val="none"/>
        </w:rPr>
        <w:t xml:space="preserve"> </w:t>
      </w:r>
      <w:r>
        <w:rPr>
          <w:rFonts w:ascii="宋体" w:hAnsi="宋体" w:eastAsia="宋体" w:cs="宋体"/>
          <w:spacing w:val="-8"/>
          <w:sz w:val="24"/>
          <w:szCs w:val="24"/>
          <w:highlight w:val="none"/>
        </w:rPr>
        <w:t>30</w:t>
      </w:r>
      <w:r>
        <w:rPr>
          <w:rFonts w:ascii="宋体" w:hAnsi="宋体" w:eastAsia="宋体" w:cs="宋体"/>
          <w:spacing w:val="50"/>
          <w:sz w:val="24"/>
          <w:szCs w:val="24"/>
          <w:highlight w:val="none"/>
        </w:rPr>
        <w:t xml:space="preserve"> </w:t>
      </w:r>
      <w:r>
        <w:rPr>
          <w:rFonts w:ascii="宋体" w:hAnsi="宋体" w:eastAsia="宋体" w:cs="宋体"/>
          <w:spacing w:val="-8"/>
          <w:sz w:val="24"/>
          <w:szCs w:val="24"/>
          <w:highlight w:val="none"/>
        </w:rPr>
        <w:t>日前支付；</w:t>
      </w:r>
    </w:p>
    <w:p w14:paraId="36528149">
      <w:pPr>
        <w:spacing w:before="157" w:line="219" w:lineRule="auto"/>
        <w:ind w:left="482"/>
        <w:rPr>
          <w:rFonts w:ascii="宋体" w:hAnsi="宋体" w:eastAsia="宋体" w:cs="宋体"/>
          <w:sz w:val="24"/>
          <w:szCs w:val="24"/>
          <w:highlight w:val="none"/>
        </w:rPr>
      </w:pPr>
      <w:r>
        <w:rPr>
          <w:rFonts w:ascii="宋体" w:hAnsi="宋体" w:eastAsia="宋体" w:cs="宋体"/>
          <w:spacing w:val="-7"/>
          <w:sz w:val="24"/>
          <w:szCs w:val="24"/>
          <w:highlight w:val="none"/>
        </w:rPr>
        <w:t>2.2、9 月</w:t>
      </w:r>
      <w:r>
        <w:rPr>
          <w:rFonts w:ascii="宋体" w:hAnsi="宋体" w:eastAsia="宋体" w:cs="宋体"/>
          <w:spacing w:val="27"/>
          <w:sz w:val="24"/>
          <w:szCs w:val="24"/>
          <w:highlight w:val="none"/>
        </w:rPr>
        <w:t xml:space="preserve"> </w:t>
      </w:r>
      <w:r>
        <w:rPr>
          <w:rFonts w:ascii="宋体" w:hAnsi="宋体" w:eastAsia="宋体" w:cs="宋体"/>
          <w:spacing w:val="-7"/>
          <w:sz w:val="24"/>
          <w:szCs w:val="24"/>
          <w:highlight w:val="none"/>
        </w:rPr>
        <w:t>1</w:t>
      </w:r>
      <w:r>
        <w:rPr>
          <w:rFonts w:ascii="宋体" w:hAnsi="宋体" w:eastAsia="宋体" w:cs="宋体"/>
          <w:spacing w:val="50"/>
          <w:sz w:val="24"/>
          <w:szCs w:val="24"/>
          <w:highlight w:val="none"/>
        </w:rPr>
        <w:t xml:space="preserve"> </w:t>
      </w:r>
      <w:r>
        <w:rPr>
          <w:rFonts w:ascii="宋体" w:hAnsi="宋体" w:eastAsia="宋体" w:cs="宋体"/>
          <w:spacing w:val="-7"/>
          <w:sz w:val="24"/>
          <w:szCs w:val="24"/>
          <w:highlight w:val="none"/>
        </w:rPr>
        <w:t>日至次年 3 月</w:t>
      </w:r>
      <w:r>
        <w:rPr>
          <w:rFonts w:ascii="宋体" w:hAnsi="宋体" w:eastAsia="宋体" w:cs="宋体"/>
          <w:spacing w:val="27"/>
          <w:sz w:val="24"/>
          <w:szCs w:val="24"/>
          <w:highlight w:val="none"/>
        </w:rPr>
        <w:t xml:space="preserve"> </w:t>
      </w:r>
      <w:r>
        <w:rPr>
          <w:rFonts w:ascii="宋体" w:hAnsi="宋体" w:eastAsia="宋体" w:cs="宋体"/>
          <w:spacing w:val="-7"/>
          <w:sz w:val="24"/>
          <w:szCs w:val="24"/>
          <w:highlight w:val="none"/>
        </w:rPr>
        <w:t>1</w:t>
      </w:r>
      <w:r>
        <w:rPr>
          <w:rFonts w:ascii="宋体" w:hAnsi="宋体" w:eastAsia="宋体" w:cs="宋体"/>
          <w:spacing w:val="51"/>
          <w:sz w:val="24"/>
          <w:szCs w:val="24"/>
          <w:highlight w:val="none"/>
        </w:rPr>
        <w:t xml:space="preserve"> </w:t>
      </w:r>
      <w:r>
        <w:rPr>
          <w:rFonts w:ascii="宋体" w:hAnsi="宋体" w:eastAsia="宋体" w:cs="宋体"/>
          <w:spacing w:val="-7"/>
          <w:sz w:val="24"/>
          <w:szCs w:val="24"/>
          <w:highlight w:val="none"/>
        </w:rPr>
        <w:t>日期间的维修费，在次年</w:t>
      </w:r>
      <w:r>
        <w:rPr>
          <w:rFonts w:ascii="宋体" w:hAnsi="宋体" w:eastAsia="宋体" w:cs="宋体"/>
          <w:spacing w:val="8"/>
          <w:sz w:val="24"/>
          <w:szCs w:val="24"/>
          <w:highlight w:val="none"/>
        </w:rPr>
        <w:t xml:space="preserve"> </w:t>
      </w:r>
      <w:r>
        <w:rPr>
          <w:rFonts w:ascii="宋体" w:hAnsi="宋体" w:eastAsia="宋体" w:cs="宋体"/>
          <w:spacing w:val="-7"/>
          <w:sz w:val="24"/>
          <w:szCs w:val="24"/>
          <w:highlight w:val="none"/>
        </w:rPr>
        <w:t>4</w:t>
      </w:r>
      <w:r>
        <w:rPr>
          <w:rFonts w:ascii="宋体" w:hAnsi="宋体" w:eastAsia="宋体" w:cs="宋体"/>
          <w:spacing w:val="15"/>
          <w:sz w:val="24"/>
          <w:szCs w:val="24"/>
          <w:highlight w:val="none"/>
        </w:rPr>
        <w:t xml:space="preserve"> </w:t>
      </w:r>
      <w:r>
        <w:rPr>
          <w:rFonts w:ascii="宋体" w:hAnsi="宋体" w:eastAsia="宋体" w:cs="宋体"/>
          <w:spacing w:val="-7"/>
          <w:sz w:val="24"/>
          <w:szCs w:val="24"/>
          <w:highlight w:val="none"/>
        </w:rPr>
        <w:t>月</w:t>
      </w:r>
      <w:r>
        <w:rPr>
          <w:rFonts w:ascii="宋体" w:hAnsi="宋体" w:eastAsia="宋体" w:cs="宋体"/>
          <w:spacing w:val="14"/>
          <w:sz w:val="24"/>
          <w:szCs w:val="24"/>
          <w:highlight w:val="none"/>
        </w:rPr>
        <w:t xml:space="preserve"> </w:t>
      </w:r>
      <w:r>
        <w:rPr>
          <w:rFonts w:ascii="宋体" w:hAnsi="宋体" w:eastAsia="宋体" w:cs="宋体"/>
          <w:spacing w:val="-7"/>
          <w:sz w:val="24"/>
          <w:szCs w:val="24"/>
          <w:highlight w:val="none"/>
        </w:rPr>
        <w:t>30 日前支付。</w:t>
      </w:r>
    </w:p>
    <w:p w14:paraId="31D2BB55">
      <w:pPr>
        <w:spacing w:before="153" w:line="279" w:lineRule="auto"/>
        <w:ind w:left="1" w:right="61" w:firstLine="317"/>
        <w:rPr>
          <w:rFonts w:ascii="宋体" w:hAnsi="宋体" w:eastAsia="宋体" w:cs="宋体"/>
          <w:sz w:val="24"/>
          <w:szCs w:val="24"/>
          <w:highlight w:val="none"/>
        </w:rPr>
      </w:pPr>
      <w:r>
        <w:rPr>
          <w:rFonts w:ascii="宋体" w:hAnsi="宋体" w:eastAsia="宋体" w:cs="宋体"/>
          <w:spacing w:val="2"/>
          <w:sz w:val="24"/>
          <w:szCs w:val="24"/>
          <w:highlight w:val="none"/>
        </w:rPr>
        <w:t>3、质保金：结算总金额的 3% 作为质量保证金，质保期（1年 / 6 个月，按包</w:t>
      </w:r>
      <w:r>
        <w:rPr>
          <w:rFonts w:ascii="宋体" w:hAnsi="宋体" w:eastAsia="宋体" w:cs="宋体"/>
          <w:spacing w:val="1"/>
          <w:sz w:val="24"/>
          <w:szCs w:val="24"/>
          <w:highlight w:val="none"/>
        </w:rPr>
        <w:t>号对应</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条款）满且无质量问题后，甲方在 15 个工作日内无息退还。</w:t>
      </w:r>
    </w:p>
    <w:p w14:paraId="651122D0">
      <w:pPr>
        <w:spacing w:before="216" w:line="219" w:lineRule="auto"/>
        <w:ind w:left="239"/>
        <w:rPr>
          <w:rFonts w:ascii="宋体" w:hAnsi="宋体" w:eastAsia="宋体" w:cs="宋体"/>
          <w:sz w:val="24"/>
          <w:szCs w:val="24"/>
          <w:highlight w:val="none"/>
        </w:rPr>
      </w:pPr>
      <w:r>
        <w:rPr>
          <w:rFonts w:ascii="宋体" w:hAnsi="宋体" w:eastAsia="宋体" w:cs="宋体"/>
          <w:sz w:val="24"/>
          <w:szCs w:val="24"/>
          <w:highlight w:val="none"/>
        </w:rPr>
        <w:t>4、发票要求：乙方需提供合法有效的增值税普通发票，否</w:t>
      </w:r>
      <w:r>
        <w:rPr>
          <w:rFonts w:ascii="宋体" w:hAnsi="宋体" w:eastAsia="宋体" w:cs="宋体"/>
          <w:spacing w:val="-1"/>
          <w:sz w:val="24"/>
          <w:szCs w:val="24"/>
          <w:highlight w:val="none"/>
        </w:rPr>
        <w:t>则甲方有权顺延付款。</w:t>
      </w:r>
    </w:p>
    <w:p w14:paraId="7038C50A">
      <w:pPr>
        <w:spacing w:before="215" w:line="219" w:lineRule="auto"/>
        <w:rPr>
          <w:rFonts w:ascii="宋体" w:hAnsi="宋体" w:eastAsia="宋体" w:cs="宋体"/>
          <w:sz w:val="24"/>
          <w:szCs w:val="24"/>
          <w:highlight w:val="none"/>
        </w:rPr>
      </w:pPr>
      <w:r>
        <w:rPr>
          <w:rFonts w:ascii="宋体" w:hAnsi="宋体" w:eastAsia="宋体" w:cs="宋体"/>
          <w:spacing w:val="-1"/>
          <w:sz w:val="24"/>
          <w:szCs w:val="24"/>
          <w:highlight w:val="none"/>
        </w:rPr>
        <w:t>第五条 履约保证金缴纳和违约扣款规则</w:t>
      </w:r>
    </w:p>
    <w:p w14:paraId="033B2791">
      <w:pPr>
        <w:spacing w:before="154" w:line="219" w:lineRule="auto"/>
        <w:ind w:left="257"/>
        <w:rPr>
          <w:rFonts w:ascii="宋体" w:hAnsi="宋体" w:eastAsia="宋体" w:cs="宋体"/>
          <w:sz w:val="24"/>
          <w:szCs w:val="24"/>
          <w:highlight w:val="none"/>
        </w:rPr>
      </w:pPr>
      <w:r>
        <w:rPr>
          <w:rFonts w:ascii="宋体" w:hAnsi="宋体" w:eastAsia="宋体" w:cs="宋体"/>
          <w:spacing w:val="-8"/>
          <w:sz w:val="24"/>
          <w:szCs w:val="24"/>
          <w:highlight w:val="none"/>
        </w:rPr>
        <w:t xml:space="preserve">1、乙方须在签订本合同前，按所投包号要求向甲方缴纳履约保证金人民币  </w:t>
      </w:r>
      <w:r>
        <w:rPr>
          <w:rFonts w:ascii="宋体" w:hAnsi="宋体" w:eastAsia="宋体" w:cs="宋体"/>
          <w:spacing w:val="-8"/>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8"/>
          <w:sz w:val="24"/>
          <w:szCs w:val="24"/>
          <w:highlight w:val="none"/>
        </w:rPr>
        <w:t>元（具</w:t>
      </w:r>
    </w:p>
    <w:p w14:paraId="661F5959">
      <w:pPr>
        <w:spacing w:line="219" w:lineRule="auto"/>
        <w:rPr>
          <w:rFonts w:ascii="宋体" w:hAnsi="宋体" w:eastAsia="宋体" w:cs="宋体"/>
          <w:sz w:val="24"/>
          <w:szCs w:val="24"/>
          <w:highlight w:val="none"/>
        </w:rPr>
        <w:sectPr>
          <w:footerReference r:id="rId18" w:type="default"/>
          <w:pgSz w:w="11907" w:h="16840"/>
          <w:pgMar w:top="820" w:right="1129" w:bottom="1200" w:left="1312" w:header="0" w:footer="996" w:gutter="0"/>
          <w:cols w:space="720" w:num="1"/>
        </w:sectPr>
      </w:pPr>
    </w:p>
    <w:p w14:paraId="149359E8">
      <w:pPr>
        <w:spacing w:before="42" w:line="355" w:lineRule="auto"/>
        <w:ind w:right="128" w:firstLine="31"/>
        <w:rPr>
          <w:rFonts w:ascii="宋体" w:hAnsi="宋体" w:eastAsia="宋体" w:cs="宋体"/>
          <w:sz w:val="24"/>
          <w:szCs w:val="24"/>
          <w:highlight w:val="none"/>
        </w:rPr>
      </w:pPr>
      <w:r>
        <w:rPr>
          <w:rFonts w:hint="eastAsia" w:ascii="仿宋" w:hAnsi="仿宋" w:eastAsia="仿宋" w:cs="仿宋"/>
          <w:spacing w:val="5"/>
          <w:sz w:val="20"/>
          <w:szCs w:val="20"/>
          <w:highlight w:val="none"/>
          <w:lang w:eastAsia="zh-CN"/>
        </w:rPr>
        <w:t xml:space="preserve"> </w:t>
      </w:r>
      <w:r>
        <w:rPr>
          <w:rFonts w:ascii="仿宋" w:hAnsi="仿宋" w:eastAsia="仿宋" w:cs="仿宋"/>
          <w:sz w:val="20"/>
          <w:szCs w:val="20"/>
          <w:highlight w:val="none"/>
        </w:rPr>
        <w:t xml:space="preserve"> </w:t>
      </w:r>
      <w:r>
        <w:rPr>
          <w:rFonts w:ascii="宋体" w:hAnsi="宋体" w:eastAsia="宋体" w:cs="宋体"/>
          <w:sz w:val="24"/>
          <w:szCs w:val="24"/>
          <w:highlight w:val="none"/>
        </w:rPr>
        <w:t>体以比选文件对应包号为准）。履约保证金通过银行转账方</w:t>
      </w:r>
      <w:r>
        <w:rPr>
          <w:rFonts w:ascii="宋体" w:hAnsi="宋体" w:eastAsia="宋体" w:cs="宋体"/>
          <w:spacing w:val="-1"/>
          <w:sz w:val="24"/>
          <w:szCs w:val="24"/>
          <w:highlight w:val="none"/>
        </w:rPr>
        <w:t>式支付至甲方指定账户。</w:t>
      </w:r>
    </w:p>
    <w:p w14:paraId="5A2C5C5C">
      <w:pPr>
        <w:spacing w:before="9" w:line="280" w:lineRule="auto"/>
        <w:ind w:left="9" w:right="61" w:firstLine="234"/>
        <w:rPr>
          <w:rFonts w:ascii="宋体" w:hAnsi="宋体" w:eastAsia="宋体" w:cs="宋体"/>
          <w:sz w:val="24"/>
          <w:szCs w:val="24"/>
          <w:highlight w:val="none"/>
        </w:rPr>
      </w:pPr>
      <w:r>
        <w:rPr>
          <w:rFonts w:ascii="宋体" w:hAnsi="宋体" w:eastAsia="宋体" w:cs="宋体"/>
          <w:spacing w:val="-2"/>
          <w:sz w:val="24"/>
          <w:szCs w:val="24"/>
          <w:highlight w:val="none"/>
        </w:rPr>
        <w:t>2、合同期满且乙方无违约行为、无质量问题满足国家或行业验收标准或已妥善履</w:t>
      </w:r>
      <w:r>
        <w:rPr>
          <w:rFonts w:ascii="宋体" w:hAnsi="宋体" w:eastAsia="宋体" w:cs="宋体"/>
          <w:spacing w:val="-3"/>
          <w:sz w:val="24"/>
          <w:szCs w:val="24"/>
          <w:highlight w:val="none"/>
        </w:rPr>
        <w:t>行保修</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责任后，甲方在 10 个工作日内无息退还履约保证金。</w:t>
      </w:r>
    </w:p>
    <w:p w14:paraId="16CBDCE4">
      <w:pPr>
        <w:spacing w:before="152" w:line="309" w:lineRule="auto"/>
        <w:ind w:right="61" w:firstLine="244"/>
        <w:rPr>
          <w:rFonts w:ascii="宋体" w:hAnsi="宋体" w:eastAsia="宋体" w:cs="宋体"/>
          <w:sz w:val="24"/>
          <w:szCs w:val="24"/>
          <w:highlight w:val="none"/>
        </w:rPr>
      </w:pPr>
      <w:r>
        <w:rPr>
          <w:rFonts w:ascii="宋体" w:hAnsi="宋体" w:eastAsia="宋体" w:cs="宋体"/>
          <w:spacing w:val="-2"/>
          <w:sz w:val="24"/>
          <w:szCs w:val="24"/>
          <w:highlight w:val="none"/>
        </w:rPr>
        <w:t>3、若乙方无正当理由（包括但不限于自然灾害、甲方未提供施工条件、不可</w:t>
      </w:r>
      <w:r>
        <w:rPr>
          <w:rFonts w:ascii="宋体" w:hAnsi="宋体" w:eastAsia="宋体" w:cs="宋体"/>
          <w:spacing w:val="-3"/>
          <w:sz w:val="24"/>
          <w:szCs w:val="24"/>
          <w:highlight w:val="none"/>
        </w:rPr>
        <w:t>抗力等）拒</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绝执行甲方指派的维修任务（含抢修任务</w:t>
      </w:r>
      <w:r>
        <w:rPr>
          <w:rFonts w:ascii="宋体" w:hAnsi="宋体" w:eastAsia="宋体" w:cs="宋体"/>
          <w:spacing w:val="-11"/>
          <w:sz w:val="24"/>
          <w:szCs w:val="24"/>
          <w:highlight w:val="none"/>
        </w:rPr>
        <w:t>），</w:t>
      </w:r>
      <w:r>
        <w:rPr>
          <w:rFonts w:ascii="宋体" w:hAnsi="宋体" w:eastAsia="宋体" w:cs="宋体"/>
          <w:spacing w:val="-1"/>
          <w:sz w:val="24"/>
          <w:szCs w:val="24"/>
          <w:highlight w:val="none"/>
        </w:rPr>
        <w:t>单次扣除履约</w:t>
      </w:r>
      <w:r>
        <w:rPr>
          <w:rFonts w:ascii="宋体" w:hAnsi="宋体" w:eastAsia="宋体" w:cs="宋体"/>
          <w:spacing w:val="-2"/>
          <w:sz w:val="24"/>
          <w:szCs w:val="24"/>
          <w:highlight w:val="none"/>
        </w:rPr>
        <w:t>保证金的  50%；累计两次拒绝</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执行，甲方有权扣除全部剩余保证金，并单方面解除合同，且乙方须承担由此给甲方造成</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的全部损失。</w:t>
      </w:r>
    </w:p>
    <w:p w14:paraId="60AC9C01">
      <w:pPr>
        <w:spacing w:before="152" w:line="280" w:lineRule="auto"/>
        <w:ind w:left="3" w:right="61" w:firstLine="236"/>
        <w:rPr>
          <w:rFonts w:ascii="宋体" w:hAnsi="宋体" w:eastAsia="宋体" w:cs="宋体"/>
          <w:sz w:val="24"/>
          <w:szCs w:val="24"/>
          <w:highlight w:val="none"/>
        </w:rPr>
      </w:pPr>
      <w:r>
        <w:rPr>
          <w:rFonts w:ascii="宋体" w:hAnsi="宋体" w:eastAsia="宋体" w:cs="宋体"/>
          <w:spacing w:val="-2"/>
          <w:sz w:val="24"/>
          <w:szCs w:val="24"/>
          <w:highlight w:val="none"/>
        </w:rPr>
        <w:t>4、因乙方施工质量不达标、未按时完成维修等违约行为，甲方有权根据实际损失扣除部</w:t>
      </w:r>
      <w:r>
        <w:rPr>
          <w:rFonts w:ascii="宋体" w:hAnsi="宋体" w:eastAsia="宋体" w:cs="宋体"/>
          <w:spacing w:val="1"/>
          <w:sz w:val="24"/>
          <w:szCs w:val="24"/>
          <w:highlight w:val="none"/>
        </w:rPr>
        <w:t xml:space="preserve"> </w:t>
      </w:r>
      <w:r>
        <w:rPr>
          <w:rFonts w:ascii="宋体" w:hAnsi="宋体" w:eastAsia="宋体" w:cs="宋体"/>
          <w:spacing w:val="-2"/>
          <w:sz w:val="24"/>
          <w:szCs w:val="24"/>
          <w:highlight w:val="none"/>
        </w:rPr>
        <w:t>分或全部履约保证金。</w:t>
      </w:r>
    </w:p>
    <w:p w14:paraId="2AB3A8A6">
      <w:pPr>
        <w:spacing w:before="154" w:line="219" w:lineRule="auto"/>
        <w:rPr>
          <w:rFonts w:ascii="宋体" w:hAnsi="宋体" w:eastAsia="宋体" w:cs="宋体"/>
          <w:sz w:val="24"/>
          <w:szCs w:val="24"/>
          <w:highlight w:val="none"/>
        </w:rPr>
      </w:pPr>
      <w:r>
        <w:rPr>
          <w:rFonts w:ascii="宋体" w:hAnsi="宋体" w:eastAsia="宋体" w:cs="宋体"/>
          <w:spacing w:val="-1"/>
          <w:sz w:val="24"/>
          <w:szCs w:val="24"/>
          <w:highlight w:val="none"/>
        </w:rPr>
        <w:t>第六条 质量保证与验收</w:t>
      </w:r>
    </w:p>
    <w:p w14:paraId="07D6260A">
      <w:pPr>
        <w:spacing w:before="153" w:line="280" w:lineRule="auto"/>
        <w:ind w:left="2" w:right="61" w:firstLine="255"/>
        <w:rPr>
          <w:rFonts w:ascii="宋体" w:hAnsi="宋体" w:eastAsia="宋体" w:cs="宋体"/>
          <w:sz w:val="24"/>
          <w:szCs w:val="24"/>
          <w:highlight w:val="none"/>
        </w:rPr>
      </w:pPr>
      <w:r>
        <w:rPr>
          <w:rFonts w:ascii="宋体" w:hAnsi="宋体" w:eastAsia="宋体" w:cs="宋体"/>
          <w:spacing w:val="1"/>
          <w:sz w:val="24"/>
          <w:szCs w:val="24"/>
          <w:highlight w:val="none"/>
        </w:rPr>
        <w:t>1、质量要求：维修工程质量需达到国家或行业标准，</w:t>
      </w:r>
      <w:r>
        <w:rPr>
          <w:rFonts w:ascii="宋体" w:hAnsi="宋体" w:eastAsia="宋体" w:cs="宋体"/>
          <w:sz w:val="24"/>
          <w:szCs w:val="24"/>
          <w:highlight w:val="none"/>
        </w:rPr>
        <w:t xml:space="preserve">具体按比选文件 “第三篇项目商 </w:t>
      </w:r>
      <w:r>
        <w:rPr>
          <w:rFonts w:ascii="宋体" w:hAnsi="宋体" w:eastAsia="宋体" w:cs="宋体"/>
          <w:spacing w:val="-3"/>
          <w:sz w:val="24"/>
          <w:szCs w:val="24"/>
          <w:highlight w:val="none"/>
        </w:rPr>
        <w:t>务需求</w:t>
      </w:r>
      <w:r>
        <w:rPr>
          <w:rFonts w:ascii="宋体" w:hAnsi="宋体" w:eastAsia="宋体" w:cs="宋体"/>
          <w:spacing w:val="-89"/>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23"/>
          <w:sz w:val="24"/>
          <w:szCs w:val="24"/>
          <w:highlight w:val="none"/>
        </w:rPr>
        <w:t xml:space="preserve"> </w:t>
      </w:r>
      <w:r>
        <w:rPr>
          <w:rFonts w:ascii="宋体" w:hAnsi="宋体" w:eastAsia="宋体" w:cs="宋体"/>
          <w:spacing w:val="-3"/>
          <w:sz w:val="24"/>
          <w:szCs w:val="24"/>
          <w:highlight w:val="none"/>
        </w:rPr>
        <w:t>执行；</w:t>
      </w:r>
    </w:p>
    <w:p w14:paraId="23A7B110">
      <w:pPr>
        <w:spacing w:before="154" w:line="219" w:lineRule="auto"/>
        <w:ind w:left="243"/>
        <w:rPr>
          <w:rFonts w:ascii="宋体" w:hAnsi="宋体" w:eastAsia="宋体" w:cs="宋体"/>
          <w:sz w:val="24"/>
          <w:szCs w:val="24"/>
          <w:highlight w:val="none"/>
        </w:rPr>
      </w:pPr>
      <w:r>
        <w:rPr>
          <w:rFonts w:ascii="宋体" w:hAnsi="宋体" w:eastAsia="宋体" w:cs="宋体"/>
          <w:spacing w:val="-2"/>
          <w:sz w:val="24"/>
          <w:szCs w:val="24"/>
          <w:highlight w:val="none"/>
        </w:rPr>
        <w:t>2、验收方式：原材料进场需经甲方验收签字；工程完工后，乙方提交验收申请，</w:t>
      </w:r>
      <w:r>
        <w:rPr>
          <w:rFonts w:ascii="宋体" w:hAnsi="宋体" w:eastAsia="宋体" w:cs="宋体"/>
          <w:spacing w:val="-3"/>
          <w:sz w:val="24"/>
          <w:szCs w:val="24"/>
          <w:highlight w:val="none"/>
        </w:rPr>
        <w:t>甲方在</w:t>
      </w:r>
    </w:p>
    <w:p w14:paraId="554A1558">
      <w:pPr>
        <w:spacing w:before="154" w:line="299" w:lineRule="auto"/>
        <w:ind w:left="4"/>
        <w:rPr>
          <w:rFonts w:ascii="宋体" w:hAnsi="宋体" w:eastAsia="宋体" w:cs="宋体"/>
          <w:sz w:val="24"/>
          <w:szCs w:val="24"/>
          <w:highlight w:val="none"/>
        </w:rPr>
      </w:pPr>
      <w:r>
        <w:rPr>
          <w:rFonts w:ascii="宋体" w:hAnsi="宋体" w:eastAsia="宋体" w:cs="宋体"/>
          <w:spacing w:val="1"/>
          <w:sz w:val="24"/>
          <w:szCs w:val="24"/>
          <w:highlight w:val="none"/>
        </w:rPr>
        <w:t>5 个工作日内组织验收，验收合格后签署《验收单》；质保期内出现质量问题，乙</w:t>
      </w:r>
      <w:r>
        <w:rPr>
          <w:rFonts w:ascii="宋体" w:hAnsi="宋体" w:eastAsia="宋体" w:cs="宋体"/>
          <w:sz w:val="24"/>
          <w:szCs w:val="24"/>
          <w:highlight w:val="none"/>
        </w:rPr>
        <w:t xml:space="preserve">方未在 </w:t>
      </w:r>
      <w:r>
        <w:rPr>
          <w:rFonts w:ascii="宋体" w:hAnsi="宋体" w:eastAsia="宋体" w:cs="宋体"/>
          <w:spacing w:val="-3"/>
          <w:sz w:val="24"/>
          <w:szCs w:val="24"/>
          <w:highlight w:val="none"/>
        </w:rPr>
        <w:t>约定时间内修复的，甲方除扣除质保金外，有</w:t>
      </w:r>
      <w:r>
        <w:rPr>
          <w:rFonts w:ascii="宋体" w:hAnsi="宋体" w:eastAsia="宋体" w:cs="宋体"/>
          <w:spacing w:val="-4"/>
          <w:sz w:val="24"/>
          <w:szCs w:val="24"/>
          <w:highlight w:val="none"/>
        </w:rPr>
        <w:t>权使用履约保证金先行支付第三方维修费用，</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不足部分继续向乙方追偿。</w:t>
      </w:r>
    </w:p>
    <w:p w14:paraId="0A333B1A">
      <w:pPr>
        <w:spacing w:before="155" w:line="219" w:lineRule="auto"/>
        <w:rPr>
          <w:rFonts w:ascii="宋体" w:hAnsi="宋体" w:eastAsia="宋体" w:cs="宋体"/>
          <w:sz w:val="24"/>
          <w:szCs w:val="24"/>
          <w:highlight w:val="none"/>
        </w:rPr>
      </w:pPr>
      <w:r>
        <w:rPr>
          <w:rFonts w:ascii="宋体" w:hAnsi="宋体" w:eastAsia="宋体" w:cs="宋体"/>
          <w:spacing w:val="-1"/>
          <w:sz w:val="24"/>
          <w:szCs w:val="24"/>
          <w:highlight w:val="none"/>
        </w:rPr>
        <w:t>第七条   双方责任</w:t>
      </w:r>
    </w:p>
    <w:p w14:paraId="1BCF4663">
      <w:pPr>
        <w:spacing w:before="157" w:line="219" w:lineRule="auto"/>
        <w:ind w:left="321"/>
        <w:rPr>
          <w:rFonts w:ascii="宋体" w:hAnsi="宋体" w:eastAsia="宋体" w:cs="宋体"/>
          <w:sz w:val="24"/>
          <w:szCs w:val="24"/>
          <w:highlight w:val="none"/>
        </w:rPr>
      </w:pPr>
      <w:r>
        <w:rPr>
          <w:rFonts w:ascii="宋体" w:hAnsi="宋体" w:eastAsia="宋体" w:cs="宋体"/>
          <w:b/>
          <w:bCs/>
          <w:spacing w:val="-9"/>
          <w:sz w:val="24"/>
          <w:szCs w:val="24"/>
          <w:highlight w:val="none"/>
        </w:rPr>
        <w:t>7.1</w:t>
      </w:r>
      <w:r>
        <w:rPr>
          <w:rFonts w:ascii="宋体" w:hAnsi="宋体" w:eastAsia="宋体" w:cs="宋体"/>
          <w:spacing w:val="21"/>
          <w:sz w:val="24"/>
          <w:szCs w:val="24"/>
          <w:highlight w:val="none"/>
        </w:rPr>
        <w:t xml:space="preserve">  </w:t>
      </w:r>
      <w:r>
        <w:rPr>
          <w:rFonts w:ascii="宋体" w:hAnsi="宋体" w:eastAsia="宋体" w:cs="宋体"/>
          <w:b/>
          <w:bCs/>
          <w:spacing w:val="-9"/>
          <w:sz w:val="24"/>
          <w:szCs w:val="24"/>
          <w:highlight w:val="none"/>
        </w:rPr>
        <w:t>甲方责任</w:t>
      </w:r>
      <w:r>
        <w:rPr>
          <w:rFonts w:ascii="宋体" w:hAnsi="宋体" w:eastAsia="宋体" w:cs="宋体"/>
          <w:spacing w:val="-9"/>
          <w:sz w:val="24"/>
          <w:szCs w:val="24"/>
          <w:highlight w:val="none"/>
        </w:rPr>
        <w:t>：</w:t>
      </w:r>
    </w:p>
    <w:p w14:paraId="1CCB4FC0">
      <w:pPr>
        <w:spacing w:before="153" w:line="219" w:lineRule="auto"/>
        <w:ind w:left="321"/>
        <w:rPr>
          <w:rFonts w:ascii="宋体" w:hAnsi="宋体" w:eastAsia="宋体" w:cs="宋体"/>
          <w:sz w:val="24"/>
          <w:szCs w:val="24"/>
          <w:highlight w:val="none"/>
        </w:rPr>
      </w:pPr>
      <w:r>
        <w:rPr>
          <w:rFonts w:ascii="宋体" w:hAnsi="宋体" w:eastAsia="宋体" w:cs="宋体"/>
          <w:spacing w:val="-1"/>
          <w:sz w:val="24"/>
          <w:szCs w:val="24"/>
          <w:highlight w:val="none"/>
        </w:rPr>
        <w:t>7.1.1  提供合同范围内建筑物竣工建筑图、结构图。</w:t>
      </w:r>
    </w:p>
    <w:p w14:paraId="6D35B5D8">
      <w:pPr>
        <w:spacing w:before="155" w:line="219" w:lineRule="auto"/>
        <w:ind w:left="321"/>
        <w:rPr>
          <w:rFonts w:ascii="宋体" w:hAnsi="宋体" w:eastAsia="宋体" w:cs="宋体"/>
          <w:sz w:val="24"/>
          <w:szCs w:val="24"/>
          <w:highlight w:val="none"/>
        </w:rPr>
      </w:pPr>
      <w:r>
        <w:rPr>
          <w:rFonts w:ascii="宋体" w:hAnsi="宋体" w:eastAsia="宋体" w:cs="宋体"/>
          <w:spacing w:val="-1"/>
          <w:sz w:val="24"/>
          <w:szCs w:val="24"/>
          <w:highlight w:val="none"/>
        </w:rPr>
        <w:t>7.1.2  保障乙方进场道路通畅，具备维修作业基本条件。</w:t>
      </w:r>
    </w:p>
    <w:p w14:paraId="32F21124">
      <w:pPr>
        <w:pStyle w:val="2"/>
        <w:spacing w:line="336" w:lineRule="auto"/>
        <w:rPr>
          <w:highlight w:val="none"/>
        </w:rPr>
      </w:pPr>
    </w:p>
    <w:p w14:paraId="3D680F41">
      <w:pPr>
        <w:spacing w:before="78" w:line="219" w:lineRule="auto"/>
        <w:ind w:left="321"/>
        <w:outlineLvl w:val="2"/>
        <w:rPr>
          <w:rFonts w:ascii="宋体" w:hAnsi="宋体" w:eastAsia="宋体" w:cs="宋体"/>
          <w:sz w:val="24"/>
          <w:szCs w:val="24"/>
          <w:highlight w:val="none"/>
        </w:rPr>
      </w:pPr>
      <w:r>
        <w:rPr>
          <w:rFonts w:ascii="宋体" w:hAnsi="宋体" w:eastAsia="宋体" w:cs="宋体"/>
          <w:sz w:val="24"/>
          <w:szCs w:val="24"/>
          <w:highlight w:val="none"/>
        </w:rPr>
        <w:t>7.1.3  提供签字的《维修申请单》及对合格</w:t>
      </w:r>
      <w:r>
        <w:rPr>
          <w:rFonts w:ascii="宋体" w:hAnsi="宋体" w:eastAsia="宋体" w:cs="宋体"/>
          <w:spacing w:val="-1"/>
          <w:sz w:val="24"/>
          <w:szCs w:val="24"/>
          <w:highlight w:val="none"/>
        </w:rPr>
        <w:t>的维修内容签《验收单》提供给乙方。</w:t>
      </w:r>
    </w:p>
    <w:p w14:paraId="3D6CAD80">
      <w:pPr>
        <w:pStyle w:val="2"/>
        <w:spacing w:line="336" w:lineRule="auto"/>
        <w:rPr>
          <w:highlight w:val="none"/>
        </w:rPr>
      </w:pPr>
    </w:p>
    <w:p w14:paraId="2B62DF3B">
      <w:pPr>
        <w:spacing w:before="79" w:line="219" w:lineRule="auto"/>
        <w:ind w:left="321"/>
        <w:rPr>
          <w:rFonts w:ascii="宋体" w:hAnsi="宋体" w:eastAsia="宋体" w:cs="宋体"/>
          <w:sz w:val="24"/>
          <w:szCs w:val="24"/>
          <w:highlight w:val="none"/>
        </w:rPr>
      </w:pPr>
      <w:r>
        <w:rPr>
          <w:rFonts w:ascii="宋体" w:hAnsi="宋体" w:eastAsia="宋体" w:cs="宋体"/>
          <w:spacing w:val="-1"/>
          <w:sz w:val="24"/>
          <w:szCs w:val="24"/>
          <w:highlight w:val="none"/>
        </w:rPr>
        <w:t>7.1.4  严格按照合同规定的金额和支付方式支付乙方维修费。</w:t>
      </w:r>
    </w:p>
    <w:p w14:paraId="4D47929D">
      <w:pPr>
        <w:spacing w:before="154" w:line="219" w:lineRule="auto"/>
        <w:ind w:left="321"/>
        <w:rPr>
          <w:rFonts w:ascii="宋体" w:hAnsi="宋体" w:eastAsia="宋体" w:cs="宋体"/>
          <w:sz w:val="24"/>
          <w:szCs w:val="24"/>
          <w:highlight w:val="none"/>
        </w:rPr>
      </w:pPr>
      <w:r>
        <w:rPr>
          <w:rFonts w:ascii="宋体" w:hAnsi="宋体" w:eastAsia="宋体" w:cs="宋体"/>
          <w:b/>
          <w:bCs/>
          <w:spacing w:val="-8"/>
          <w:sz w:val="24"/>
          <w:szCs w:val="24"/>
          <w:highlight w:val="none"/>
        </w:rPr>
        <w:t>7.2</w:t>
      </w:r>
      <w:r>
        <w:rPr>
          <w:rFonts w:ascii="宋体" w:hAnsi="宋体" w:eastAsia="宋体" w:cs="宋体"/>
          <w:spacing w:val="16"/>
          <w:sz w:val="24"/>
          <w:szCs w:val="24"/>
          <w:highlight w:val="none"/>
        </w:rPr>
        <w:t xml:space="preserve">  </w:t>
      </w:r>
      <w:r>
        <w:rPr>
          <w:rFonts w:ascii="宋体" w:hAnsi="宋体" w:eastAsia="宋体" w:cs="宋体"/>
          <w:b/>
          <w:bCs/>
          <w:spacing w:val="-8"/>
          <w:sz w:val="24"/>
          <w:szCs w:val="24"/>
          <w:highlight w:val="none"/>
        </w:rPr>
        <w:t>乙方责任：</w:t>
      </w:r>
    </w:p>
    <w:p w14:paraId="1B84284D">
      <w:pPr>
        <w:spacing w:before="154" w:line="219" w:lineRule="auto"/>
        <w:ind w:left="321"/>
        <w:rPr>
          <w:rFonts w:ascii="宋体" w:hAnsi="宋体" w:eastAsia="宋体" w:cs="宋体"/>
          <w:sz w:val="24"/>
          <w:szCs w:val="24"/>
          <w:highlight w:val="none"/>
        </w:rPr>
      </w:pPr>
      <w:r>
        <w:rPr>
          <w:rFonts w:ascii="宋体" w:hAnsi="宋体" w:eastAsia="宋体" w:cs="宋体"/>
          <w:sz w:val="24"/>
          <w:szCs w:val="24"/>
          <w:highlight w:val="none"/>
        </w:rPr>
        <w:t>7.2.1</w:t>
      </w:r>
      <w:r>
        <w:rPr>
          <w:rFonts w:ascii="宋体" w:hAnsi="宋体" w:eastAsia="宋体" w:cs="宋体"/>
          <w:spacing w:val="-38"/>
          <w:sz w:val="24"/>
          <w:szCs w:val="24"/>
          <w:highlight w:val="none"/>
        </w:rPr>
        <w:t xml:space="preserve"> </w:t>
      </w:r>
      <w:r>
        <w:rPr>
          <w:rFonts w:ascii="宋体" w:hAnsi="宋体" w:eastAsia="宋体" w:cs="宋体"/>
          <w:sz w:val="24"/>
          <w:szCs w:val="24"/>
          <w:highlight w:val="none"/>
        </w:rPr>
        <w:t>严格按照所投包的技术要求、质量标准及响应时间提供维修服务（如接到通知后</w:t>
      </w:r>
    </w:p>
    <w:p w14:paraId="2BA6447C">
      <w:pPr>
        <w:spacing w:before="156" w:line="280" w:lineRule="auto"/>
        <w:ind w:right="61" w:firstLine="3"/>
        <w:rPr>
          <w:rFonts w:ascii="宋体" w:hAnsi="宋体" w:eastAsia="宋体" w:cs="宋体"/>
          <w:sz w:val="24"/>
          <w:szCs w:val="24"/>
          <w:highlight w:val="none"/>
        </w:rPr>
      </w:pPr>
      <w:r>
        <w:rPr>
          <w:rFonts w:ascii="宋体" w:hAnsi="宋体" w:eastAsia="宋体" w:cs="宋体"/>
          <w:sz w:val="24"/>
          <w:szCs w:val="24"/>
          <w:highlight w:val="none"/>
        </w:rPr>
        <w:t>24 小时内到达现场，抢修任务 12 小时内到达</w:t>
      </w:r>
      <w:r>
        <w:rPr>
          <w:rFonts w:ascii="宋体" w:hAnsi="宋体" w:eastAsia="宋体" w:cs="宋体"/>
          <w:spacing w:val="7"/>
          <w:sz w:val="24"/>
          <w:szCs w:val="24"/>
          <w:highlight w:val="none"/>
        </w:rPr>
        <w:t>），</w:t>
      </w:r>
      <w:r>
        <w:rPr>
          <w:rFonts w:ascii="宋体" w:hAnsi="宋体" w:eastAsia="宋体" w:cs="宋体"/>
          <w:sz w:val="24"/>
          <w:szCs w:val="24"/>
          <w:highlight w:val="none"/>
        </w:rPr>
        <w:t>确保维修合格率</w:t>
      </w:r>
      <w:r>
        <w:rPr>
          <w:rFonts w:ascii="宋体" w:hAnsi="宋体" w:eastAsia="宋体" w:cs="宋体"/>
          <w:spacing w:val="30"/>
          <w:sz w:val="24"/>
          <w:szCs w:val="24"/>
          <w:highlight w:val="none"/>
        </w:rPr>
        <w:t xml:space="preserve"> </w:t>
      </w:r>
      <w:r>
        <w:rPr>
          <w:rFonts w:ascii="宋体" w:hAnsi="宋体" w:eastAsia="宋体" w:cs="宋体"/>
          <w:sz w:val="24"/>
          <w:szCs w:val="24"/>
          <w:highlight w:val="none"/>
        </w:rPr>
        <w:t>100%，符</w:t>
      </w:r>
      <w:r>
        <w:rPr>
          <w:rFonts w:ascii="宋体" w:hAnsi="宋体" w:eastAsia="宋体" w:cs="宋体"/>
          <w:spacing w:val="-1"/>
          <w:sz w:val="24"/>
          <w:szCs w:val="24"/>
          <w:highlight w:val="none"/>
        </w:rPr>
        <w:t>合国家及行</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业规范。</w:t>
      </w:r>
    </w:p>
    <w:p w14:paraId="7BF16A59">
      <w:pPr>
        <w:spacing w:before="151" w:line="279" w:lineRule="auto"/>
        <w:ind w:left="5" w:right="61" w:firstLine="315"/>
        <w:rPr>
          <w:rFonts w:ascii="宋体" w:hAnsi="宋体" w:eastAsia="宋体" w:cs="宋体"/>
          <w:sz w:val="24"/>
          <w:szCs w:val="24"/>
          <w:highlight w:val="none"/>
        </w:rPr>
      </w:pPr>
      <w:r>
        <w:rPr>
          <w:rFonts w:ascii="宋体" w:hAnsi="宋体" w:eastAsia="宋体" w:cs="宋体"/>
          <w:sz w:val="24"/>
          <w:szCs w:val="24"/>
          <w:highlight w:val="none"/>
        </w:rPr>
        <w:t>7.2.2</w:t>
      </w:r>
      <w:r>
        <w:rPr>
          <w:rFonts w:ascii="宋体" w:hAnsi="宋体" w:eastAsia="宋体" w:cs="宋体"/>
          <w:spacing w:val="-38"/>
          <w:sz w:val="24"/>
          <w:szCs w:val="24"/>
          <w:highlight w:val="none"/>
        </w:rPr>
        <w:t xml:space="preserve"> </w:t>
      </w:r>
      <w:r>
        <w:rPr>
          <w:rFonts w:ascii="宋体" w:hAnsi="宋体" w:eastAsia="宋体" w:cs="宋体"/>
          <w:sz w:val="24"/>
          <w:szCs w:val="24"/>
          <w:highlight w:val="none"/>
        </w:rPr>
        <w:t xml:space="preserve">按包号对应的维修清单及限价报价，结算时按承诺的折扣率执行，确保清单内 / </w:t>
      </w:r>
      <w:r>
        <w:rPr>
          <w:rFonts w:ascii="宋体" w:hAnsi="宋体" w:eastAsia="宋体" w:cs="宋体"/>
          <w:spacing w:val="-1"/>
          <w:sz w:val="24"/>
          <w:szCs w:val="24"/>
          <w:highlight w:val="none"/>
        </w:rPr>
        <w:t>外项目的计价、计量符合合同约定。</w:t>
      </w:r>
    </w:p>
    <w:p w14:paraId="58E8AA27">
      <w:pPr>
        <w:spacing w:before="157" w:line="299" w:lineRule="auto"/>
        <w:ind w:left="2" w:firstLine="318"/>
        <w:rPr>
          <w:rFonts w:ascii="宋体" w:hAnsi="宋体" w:eastAsia="宋体" w:cs="宋体"/>
          <w:sz w:val="24"/>
          <w:szCs w:val="24"/>
          <w:highlight w:val="none"/>
        </w:rPr>
      </w:pPr>
      <w:r>
        <w:rPr>
          <w:rFonts w:ascii="宋体" w:hAnsi="宋体" w:eastAsia="宋体" w:cs="宋体"/>
          <w:sz w:val="24"/>
          <w:szCs w:val="24"/>
          <w:highlight w:val="none"/>
        </w:rPr>
        <w:t>7.2.3</w:t>
      </w:r>
      <w:r>
        <w:rPr>
          <w:rFonts w:ascii="宋体" w:hAnsi="宋体" w:eastAsia="宋体" w:cs="宋体"/>
          <w:spacing w:val="-38"/>
          <w:sz w:val="24"/>
          <w:szCs w:val="24"/>
          <w:highlight w:val="none"/>
        </w:rPr>
        <w:t xml:space="preserve"> </w:t>
      </w:r>
      <w:r>
        <w:rPr>
          <w:rFonts w:ascii="宋体" w:hAnsi="宋体" w:eastAsia="宋体" w:cs="宋体"/>
          <w:sz w:val="24"/>
          <w:szCs w:val="24"/>
          <w:highlight w:val="none"/>
        </w:rPr>
        <w:t xml:space="preserve">维修过程中须落实安全防护措施，杜绝安全事故。因乙方管理或安全措施不力造 </w:t>
      </w:r>
      <w:r>
        <w:rPr>
          <w:rFonts w:ascii="宋体" w:hAnsi="宋体" w:eastAsia="宋体" w:cs="宋体"/>
          <w:spacing w:val="-3"/>
          <w:sz w:val="24"/>
          <w:szCs w:val="24"/>
          <w:highlight w:val="none"/>
        </w:rPr>
        <w:t>成的周边环境破坏、人员伤亡或第三方财产损失，</w:t>
      </w:r>
      <w:r>
        <w:rPr>
          <w:rFonts w:ascii="宋体" w:hAnsi="宋体" w:eastAsia="宋体" w:cs="宋体"/>
          <w:spacing w:val="-4"/>
          <w:sz w:val="24"/>
          <w:szCs w:val="24"/>
          <w:highlight w:val="none"/>
        </w:rPr>
        <w:t>均由乙方承担全部法律责任及经济赔偿，</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与甲方无关。</w:t>
      </w:r>
    </w:p>
    <w:p w14:paraId="153EEB04">
      <w:pPr>
        <w:spacing w:line="299" w:lineRule="auto"/>
        <w:rPr>
          <w:rFonts w:ascii="宋体" w:hAnsi="宋体" w:eastAsia="宋体" w:cs="宋体"/>
          <w:sz w:val="24"/>
          <w:szCs w:val="24"/>
          <w:highlight w:val="none"/>
        </w:rPr>
        <w:sectPr>
          <w:footerReference r:id="rId19" w:type="default"/>
          <w:pgSz w:w="11907" w:h="16840"/>
          <w:pgMar w:top="820" w:right="1129" w:bottom="1200" w:left="1311" w:header="0" w:footer="996" w:gutter="0"/>
          <w:cols w:space="720" w:num="1"/>
        </w:sectPr>
      </w:pPr>
    </w:p>
    <w:p w14:paraId="5D6CFB71">
      <w:pPr>
        <w:spacing w:before="42" w:line="229" w:lineRule="auto"/>
        <w:ind w:left="32"/>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703D7DFB">
      <w:pPr>
        <w:spacing w:before="170" w:line="278" w:lineRule="auto"/>
        <w:ind w:right="80" w:firstLine="320"/>
        <w:rPr>
          <w:rFonts w:ascii="宋体" w:hAnsi="宋体" w:eastAsia="宋体" w:cs="宋体"/>
          <w:sz w:val="24"/>
          <w:szCs w:val="24"/>
          <w:highlight w:val="none"/>
        </w:rPr>
      </w:pPr>
      <w:r>
        <w:rPr>
          <w:rFonts w:ascii="宋体" w:hAnsi="宋体" w:eastAsia="宋体" w:cs="宋体"/>
          <w:sz w:val="24"/>
          <w:szCs w:val="24"/>
          <w:highlight w:val="none"/>
        </w:rPr>
        <w:t>7.2.3</w:t>
      </w:r>
      <w:r>
        <w:rPr>
          <w:rFonts w:ascii="宋体" w:hAnsi="宋体" w:eastAsia="宋体" w:cs="宋体"/>
          <w:spacing w:val="-38"/>
          <w:sz w:val="24"/>
          <w:szCs w:val="24"/>
          <w:highlight w:val="none"/>
        </w:rPr>
        <w:t xml:space="preserve"> </w:t>
      </w:r>
      <w:r>
        <w:rPr>
          <w:rFonts w:ascii="宋体" w:hAnsi="宋体" w:eastAsia="宋体" w:cs="宋体"/>
          <w:sz w:val="24"/>
          <w:szCs w:val="24"/>
          <w:highlight w:val="none"/>
        </w:rPr>
        <w:t xml:space="preserve">维修材料、设备及工艺需符合包号要求（如包一的土建材料规格、包二的门窗玻 </w:t>
      </w:r>
      <w:r>
        <w:rPr>
          <w:rFonts w:ascii="宋体" w:hAnsi="宋体" w:eastAsia="宋体" w:cs="宋体"/>
          <w:spacing w:val="-1"/>
          <w:sz w:val="24"/>
          <w:szCs w:val="24"/>
          <w:highlight w:val="none"/>
        </w:rPr>
        <w:t>璃材质、包三的防水施工工艺、包四的空调配件原厂标准等</w:t>
      </w:r>
      <w:r>
        <w:rPr>
          <w:rFonts w:ascii="宋体" w:hAnsi="宋体" w:eastAsia="宋体" w:cs="宋体"/>
          <w:spacing w:val="12"/>
          <w:sz w:val="24"/>
          <w:szCs w:val="24"/>
          <w:highlight w:val="none"/>
        </w:rPr>
        <w:t>），</w:t>
      </w:r>
      <w:r>
        <w:rPr>
          <w:rFonts w:ascii="宋体" w:hAnsi="宋体" w:eastAsia="宋体" w:cs="宋体"/>
          <w:spacing w:val="-1"/>
          <w:sz w:val="24"/>
          <w:szCs w:val="24"/>
          <w:highlight w:val="none"/>
        </w:rPr>
        <w:t>并提供相关合格证明。</w:t>
      </w:r>
    </w:p>
    <w:p w14:paraId="5DFA4FD6">
      <w:pPr>
        <w:spacing w:before="156" w:line="279" w:lineRule="auto"/>
        <w:ind w:right="138" w:firstLine="321"/>
        <w:rPr>
          <w:rFonts w:ascii="宋体" w:hAnsi="宋体" w:eastAsia="宋体" w:cs="宋体"/>
          <w:sz w:val="24"/>
          <w:szCs w:val="24"/>
          <w:highlight w:val="none"/>
        </w:rPr>
      </w:pPr>
      <w:r>
        <w:rPr>
          <w:rFonts w:ascii="宋体" w:hAnsi="宋体" w:eastAsia="宋体" w:cs="宋体"/>
          <w:sz w:val="24"/>
          <w:szCs w:val="24"/>
          <w:highlight w:val="none"/>
        </w:rPr>
        <w:t>7.2.4</w:t>
      </w:r>
      <w:r>
        <w:rPr>
          <w:rFonts w:ascii="宋体" w:hAnsi="宋体" w:eastAsia="宋体" w:cs="宋体"/>
          <w:spacing w:val="-47"/>
          <w:sz w:val="24"/>
          <w:szCs w:val="24"/>
          <w:highlight w:val="none"/>
        </w:rPr>
        <w:t xml:space="preserve"> </w:t>
      </w:r>
      <w:r>
        <w:rPr>
          <w:rFonts w:ascii="宋体" w:hAnsi="宋体" w:eastAsia="宋体" w:cs="宋体"/>
          <w:sz w:val="24"/>
          <w:szCs w:val="24"/>
          <w:highlight w:val="none"/>
        </w:rPr>
        <w:t>配备具备相应资质的维修人员（如包二的高空作业证、包四的特种作业证等</w:t>
      </w:r>
      <w:r>
        <w:rPr>
          <w:rFonts w:ascii="宋体" w:hAnsi="宋体" w:eastAsia="宋体" w:cs="宋体"/>
          <w:spacing w:val="-25"/>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遵守甲方校园管理规定，不得影响师生正常秩序。</w:t>
      </w:r>
    </w:p>
    <w:p w14:paraId="1B10099D">
      <w:pPr>
        <w:spacing w:before="152" w:line="280" w:lineRule="auto"/>
        <w:ind w:left="2" w:right="80" w:firstLine="318"/>
        <w:rPr>
          <w:rFonts w:ascii="宋体" w:hAnsi="宋体" w:eastAsia="宋体" w:cs="宋体"/>
          <w:sz w:val="24"/>
          <w:szCs w:val="24"/>
          <w:highlight w:val="none"/>
        </w:rPr>
      </w:pPr>
      <w:r>
        <w:rPr>
          <w:rFonts w:ascii="宋体" w:hAnsi="宋体" w:eastAsia="宋体" w:cs="宋体"/>
          <w:spacing w:val="-3"/>
          <w:sz w:val="24"/>
          <w:szCs w:val="24"/>
          <w:highlight w:val="none"/>
        </w:rPr>
        <w:t>7.2.5</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按要求填写维修记录、验收单，配合甲方的现场签证及隐蔽工程验收（需 2 人以</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上签字确认）。</w:t>
      </w:r>
    </w:p>
    <w:p w14:paraId="19D619DD">
      <w:pPr>
        <w:spacing w:before="152" w:line="279" w:lineRule="auto"/>
        <w:ind w:left="31" w:right="138" w:firstLine="289"/>
        <w:rPr>
          <w:rFonts w:ascii="宋体" w:hAnsi="宋体" w:eastAsia="宋体" w:cs="宋体"/>
          <w:sz w:val="24"/>
          <w:szCs w:val="24"/>
          <w:highlight w:val="none"/>
        </w:rPr>
      </w:pPr>
      <w:r>
        <w:rPr>
          <w:rFonts w:ascii="宋体" w:hAnsi="宋体" w:eastAsia="宋体" w:cs="宋体"/>
          <w:sz w:val="24"/>
          <w:szCs w:val="24"/>
          <w:highlight w:val="none"/>
        </w:rPr>
        <w:t>7.2.6</w:t>
      </w:r>
      <w:r>
        <w:rPr>
          <w:rFonts w:ascii="宋体" w:hAnsi="宋体" w:eastAsia="宋体" w:cs="宋体"/>
          <w:spacing w:val="-45"/>
          <w:sz w:val="24"/>
          <w:szCs w:val="24"/>
          <w:highlight w:val="none"/>
        </w:rPr>
        <w:t xml:space="preserve"> </w:t>
      </w:r>
      <w:r>
        <w:rPr>
          <w:rFonts w:ascii="宋体" w:hAnsi="宋体" w:eastAsia="宋体" w:cs="宋体"/>
          <w:sz w:val="24"/>
          <w:szCs w:val="24"/>
          <w:highlight w:val="none"/>
        </w:rPr>
        <w:t>按包号要求缴纳履约保证金，若拒绝执行甲方指派的维修任务（无正当理由</w:t>
      </w:r>
      <w:r>
        <w:rPr>
          <w:rFonts w:ascii="宋体" w:hAnsi="宋体" w:eastAsia="宋体" w:cs="宋体"/>
          <w:spacing w:val="-26"/>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甲方有权扣除部分或全部保证金，并解除合同。</w:t>
      </w:r>
    </w:p>
    <w:p w14:paraId="2642716D">
      <w:pPr>
        <w:spacing w:before="157" w:line="279" w:lineRule="auto"/>
        <w:ind w:left="19" w:right="80" w:firstLine="301"/>
        <w:rPr>
          <w:rFonts w:ascii="宋体" w:hAnsi="宋体" w:eastAsia="宋体" w:cs="宋体"/>
          <w:sz w:val="24"/>
          <w:szCs w:val="24"/>
          <w:highlight w:val="none"/>
        </w:rPr>
      </w:pPr>
      <w:r>
        <w:rPr>
          <w:rFonts w:ascii="宋体" w:hAnsi="宋体" w:eastAsia="宋体" w:cs="宋体"/>
          <w:sz w:val="24"/>
          <w:szCs w:val="24"/>
          <w:highlight w:val="none"/>
        </w:rPr>
        <w:t>7.2.7</w:t>
      </w:r>
      <w:r>
        <w:rPr>
          <w:rFonts w:ascii="宋体" w:hAnsi="宋体" w:eastAsia="宋体" w:cs="宋体"/>
          <w:spacing w:val="-46"/>
          <w:sz w:val="24"/>
          <w:szCs w:val="24"/>
          <w:highlight w:val="none"/>
        </w:rPr>
        <w:t xml:space="preserve"> </w:t>
      </w:r>
      <w:r>
        <w:rPr>
          <w:rFonts w:ascii="宋体" w:hAnsi="宋体" w:eastAsia="宋体" w:cs="宋体"/>
          <w:sz w:val="24"/>
          <w:szCs w:val="24"/>
          <w:highlight w:val="none"/>
        </w:rPr>
        <w:t>质保期内免费提供维修服务（非人为损坏</w:t>
      </w:r>
      <w:r>
        <w:rPr>
          <w:rFonts w:ascii="宋体" w:hAnsi="宋体" w:eastAsia="宋体" w:cs="宋体"/>
          <w:spacing w:val="5"/>
          <w:sz w:val="24"/>
          <w:szCs w:val="24"/>
          <w:highlight w:val="none"/>
        </w:rPr>
        <w:t>），</w:t>
      </w:r>
      <w:r>
        <w:rPr>
          <w:rFonts w:ascii="宋体" w:hAnsi="宋体" w:eastAsia="宋体" w:cs="宋体"/>
          <w:sz w:val="24"/>
          <w:szCs w:val="24"/>
          <w:highlight w:val="none"/>
        </w:rPr>
        <w:t>接到质量问题反馈后按包号约</w:t>
      </w:r>
      <w:r>
        <w:rPr>
          <w:rFonts w:ascii="宋体" w:hAnsi="宋体" w:eastAsia="宋体" w:cs="宋体"/>
          <w:spacing w:val="-1"/>
          <w:sz w:val="24"/>
          <w:szCs w:val="24"/>
          <w:highlight w:val="none"/>
        </w:rPr>
        <w:t>定时</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间响应（如包三要求 8 小时到达现场）。</w:t>
      </w:r>
    </w:p>
    <w:p w14:paraId="3846E424">
      <w:pPr>
        <w:spacing w:before="152" w:line="219" w:lineRule="auto"/>
        <w:ind w:left="321"/>
        <w:rPr>
          <w:rFonts w:ascii="宋体" w:hAnsi="宋体" w:eastAsia="宋体" w:cs="宋体"/>
          <w:sz w:val="24"/>
          <w:szCs w:val="24"/>
          <w:highlight w:val="none"/>
        </w:rPr>
      </w:pPr>
      <w:r>
        <w:rPr>
          <w:rFonts w:ascii="宋体" w:hAnsi="宋体" w:eastAsia="宋体" w:cs="宋体"/>
          <w:spacing w:val="-2"/>
          <w:sz w:val="24"/>
          <w:szCs w:val="24"/>
          <w:highlight w:val="none"/>
        </w:rPr>
        <w:t>7.2.8 自行承担现场踏勘、材料运输、施工损耗等费用，工完料清，做好成品保护。</w:t>
      </w:r>
    </w:p>
    <w:p w14:paraId="3E6CE166">
      <w:pPr>
        <w:spacing w:before="157" w:line="279" w:lineRule="auto"/>
        <w:ind w:right="80" w:firstLine="321"/>
        <w:rPr>
          <w:rFonts w:ascii="宋体" w:hAnsi="宋体" w:eastAsia="宋体" w:cs="宋体"/>
          <w:sz w:val="24"/>
          <w:szCs w:val="24"/>
          <w:highlight w:val="none"/>
        </w:rPr>
      </w:pPr>
      <w:r>
        <w:rPr>
          <w:rFonts w:ascii="宋体" w:hAnsi="宋体" w:eastAsia="宋体" w:cs="宋体"/>
          <w:sz w:val="24"/>
          <w:szCs w:val="24"/>
          <w:highlight w:val="none"/>
        </w:rPr>
        <w:t>7.2.9</w:t>
      </w:r>
      <w:r>
        <w:rPr>
          <w:rFonts w:ascii="宋体" w:hAnsi="宋体" w:eastAsia="宋体" w:cs="宋体"/>
          <w:spacing w:val="-38"/>
          <w:sz w:val="24"/>
          <w:szCs w:val="24"/>
          <w:highlight w:val="none"/>
        </w:rPr>
        <w:t xml:space="preserve"> </w:t>
      </w:r>
      <w:r>
        <w:rPr>
          <w:rFonts w:ascii="宋体" w:hAnsi="宋体" w:eastAsia="宋体" w:cs="宋体"/>
          <w:sz w:val="24"/>
          <w:szCs w:val="24"/>
          <w:highlight w:val="none"/>
        </w:rPr>
        <w:t xml:space="preserve">接受甲方监督与考核，对整改要求及时响应并落实。不得擅自更换维修材料或降 </w:t>
      </w:r>
      <w:r>
        <w:rPr>
          <w:rFonts w:ascii="宋体" w:hAnsi="宋体" w:eastAsia="宋体" w:cs="宋体"/>
          <w:spacing w:val="-1"/>
          <w:sz w:val="24"/>
          <w:szCs w:val="24"/>
          <w:highlight w:val="none"/>
        </w:rPr>
        <w:t>低质量标准，甲方有权扣除相应费用并要求赔偿损失。</w:t>
      </w:r>
    </w:p>
    <w:p w14:paraId="7DF21FCB">
      <w:pPr>
        <w:spacing w:before="152" w:line="309" w:lineRule="auto"/>
        <w:ind w:firstLine="320"/>
        <w:rPr>
          <w:rFonts w:ascii="宋体" w:hAnsi="宋体" w:eastAsia="宋体" w:cs="宋体"/>
          <w:sz w:val="24"/>
          <w:szCs w:val="24"/>
          <w:highlight w:val="none"/>
        </w:rPr>
      </w:pPr>
      <w:r>
        <w:rPr>
          <w:rFonts w:ascii="宋体" w:hAnsi="宋体" w:eastAsia="宋体" w:cs="宋体"/>
          <w:spacing w:val="-3"/>
          <w:sz w:val="24"/>
          <w:szCs w:val="24"/>
          <w:highlight w:val="none"/>
        </w:rPr>
        <w:t>7.2.10</w:t>
      </w:r>
      <w:r>
        <w:rPr>
          <w:rFonts w:ascii="宋体" w:hAnsi="宋体" w:eastAsia="宋体" w:cs="宋体"/>
          <w:spacing w:val="-35"/>
          <w:sz w:val="24"/>
          <w:szCs w:val="24"/>
          <w:highlight w:val="none"/>
        </w:rPr>
        <w:t xml:space="preserve"> </w:t>
      </w:r>
      <w:r>
        <w:rPr>
          <w:rFonts w:ascii="宋体" w:hAnsi="宋体" w:eastAsia="宋体" w:cs="宋体"/>
          <w:spacing w:val="-3"/>
          <w:sz w:val="24"/>
          <w:szCs w:val="24"/>
          <w:highlight w:val="none"/>
        </w:rPr>
        <w:t>特别说明：乙方须完全响应所投包的全部特定要求（包括但不限于资质证书、人</w:t>
      </w:r>
      <w:r>
        <w:rPr>
          <w:rFonts w:ascii="宋体" w:hAnsi="宋体" w:eastAsia="宋体" w:cs="宋体"/>
          <w:sz w:val="24"/>
          <w:szCs w:val="24"/>
          <w:highlight w:val="none"/>
        </w:rPr>
        <w:t xml:space="preserve"> 员证件、服务标准、限价清单等</w:t>
      </w:r>
      <w:r>
        <w:rPr>
          <w:rFonts w:ascii="宋体" w:hAnsi="宋体" w:eastAsia="宋体" w:cs="宋体"/>
          <w:spacing w:val="9"/>
          <w:sz w:val="24"/>
          <w:szCs w:val="24"/>
          <w:highlight w:val="none"/>
        </w:rPr>
        <w:t>），</w:t>
      </w:r>
      <w:r>
        <w:rPr>
          <w:rFonts w:ascii="宋体" w:hAnsi="宋体" w:eastAsia="宋体" w:cs="宋体"/>
          <w:sz w:val="24"/>
          <w:szCs w:val="24"/>
          <w:highlight w:val="none"/>
        </w:rPr>
        <w:t>具体细节以比选文件 “第二</w:t>
      </w:r>
      <w:r>
        <w:rPr>
          <w:rFonts w:ascii="宋体" w:hAnsi="宋体" w:eastAsia="宋体" w:cs="宋体"/>
          <w:spacing w:val="-1"/>
          <w:sz w:val="24"/>
          <w:szCs w:val="24"/>
          <w:highlight w:val="none"/>
        </w:rPr>
        <w:t>篇项目服务需求</w:t>
      </w:r>
      <w:r>
        <w:rPr>
          <w:rFonts w:ascii="宋体" w:hAnsi="宋体" w:eastAsia="宋体" w:cs="宋体"/>
          <w:spacing w:val="-85"/>
          <w:sz w:val="24"/>
          <w:szCs w:val="24"/>
          <w:highlight w:val="none"/>
        </w:rPr>
        <w:t xml:space="preserve"> </w:t>
      </w:r>
      <w:r>
        <w:rPr>
          <w:rFonts w:ascii="宋体" w:hAnsi="宋体" w:eastAsia="宋体" w:cs="宋体"/>
          <w:spacing w:val="-1"/>
          <w:sz w:val="24"/>
          <w:szCs w:val="24"/>
          <w:highlight w:val="none"/>
        </w:rPr>
        <w:t>” 中对</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应包号的条款为准。若因包号差异导致的责任或权利不同，以所投包的专项约定优先执行。</w:t>
      </w:r>
      <w:r>
        <w:rPr>
          <w:rFonts w:ascii="宋体" w:hAnsi="宋体" w:eastAsia="宋体" w:cs="宋体"/>
          <w:spacing w:val="2"/>
          <w:sz w:val="24"/>
          <w:szCs w:val="24"/>
          <w:highlight w:val="none"/>
        </w:rPr>
        <w:t xml:space="preserve"> </w:t>
      </w:r>
      <w:r>
        <w:rPr>
          <w:rFonts w:ascii="宋体" w:hAnsi="宋体" w:eastAsia="宋体" w:cs="宋体"/>
          <w:spacing w:val="-4"/>
          <w:sz w:val="24"/>
          <w:szCs w:val="24"/>
          <w:highlight w:val="none"/>
        </w:rPr>
        <w:t>第八条</w:t>
      </w:r>
      <w:r>
        <w:rPr>
          <w:rFonts w:ascii="宋体" w:hAnsi="宋体" w:eastAsia="宋体" w:cs="宋体"/>
          <w:spacing w:val="10"/>
          <w:sz w:val="24"/>
          <w:szCs w:val="24"/>
          <w:highlight w:val="none"/>
        </w:rPr>
        <w:t xml:space="preserve"> </w:t>
      </w:r>
      <w:r>
        <w:rPr>
          <w:rFonts w:ascii="宋体" w:hAnsi="宋体" w:eastAsia="宋体" w:cs="宋体"/>
          <w:spacing w:val="-4"/>
          <w:sz w:val="24"/>
          <w:szCs w:val="24"/>
          <w:highlight w:val="none"/>
        </w:rPr>
        <w:t>保修</w:t>
      </w:r>
    </w:p>
    <w:p w14:paraId="33BE082F">
      <w:pPr>
        <w:spacing w:before="155" w:line="279" w:lineRule="auto"/>
        <w:ind w:right="117" w:firstLine="315"/>
        <w:rPr>
          <w:rFonts w:ascii="宋体" w:hAnsi="宋体" w:eastAsia="宋体" w:cs="宋体"/>
          <w:sz w:val="24"/>
          <w:szCs w:val="24"/>
          <w:highlight w:val="none"/>
        </w:rPr>
      </w:pPr>
      <w:r>
        <w:rPr>
          <w:rFonts w:ascii="宋体" w:hAnsi="宋体" w:eastAsia="宋体" w:cs="宋体"/>
          <w:spacing w:val="-3"/>
          <w:sz w:val="24"/>
          <w:szCs w:val="24"/>
          <w:highlight w:val="none"/>
        </w:rPr>
        <w:t>8.1</w:t>
      </w:r>
      <w:r>
        <w:rPr>
          <w:rFonts w:ascii="宋体" w:hAnsi="宋体" w:eastAsia="宋体" w:cs="宋体"/>
          <w:spacing w:val="56"/>
          <w:sz w:val="24"/>
          <w:szCs w:val="24"/>
          <w:highlight w:val="none"/>
        </w:rPr>
        <w:t xml:space="preserve"> </w:t>
      </w:r>
      <w:r>
        <w:rPr>
          <w:rFonts w:ascii="宋体" w:hAnsi="宋体" w:eastAsia="宋体" w:cs="宋体"/>
          <w:spacing w:val="-3"/>
          <w:sz w:val="24"/>
          <w:szCs w:val="24"/>
          <w:highlight w:val="none"/>
        </w:rPr>
        <w:t>自验收合格签字之日起，按所投包约定的质保期执行（包一 1 年，包二 6 个月，</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包三 1 年，包四按 “三包</w:t>
      </w:r>
      <w:r>
        <w:rPr>
          <w:rFonts w:ascii="宋体" w:hAnsi="宋体" w:eastAsia="宋体" w:cs="宋体"/>
          <w:spacing w:val="-84"/>
          <w:sz w:val="24"/>
          <w:szCs w:val="24"/>
          <w:highlight w:val="none"/>
        </w:rPr>
        <w:t xml:space="preserve"> </w:t>
      </w:r>
      <w:r>
        <w:rPr>
          <w:rFonts w:ascii="宋体" w:hAnsi="宋体" w:eastAsia="宋体" w:cs="宋体"/>
          <w:spacing w:val="-1"/>
          <w:sz w:val="24"/>
          <w:szCs w:val="24"/>
          <w:highlight w:val="none"/>
        </w:rPr>
        <w:t>”</w:t>
      </w:r>
      <w:r>
        <w:rPr>
          <w:rFonts w:ascii="宋体" w:hAnsi="宋体" w:eastAsia="宋体" w:cs="宋体"/>
          <w:spacing w:val="-24"/>
          <w:sz w:val="24"/>
          <w:szCs w:val="24"/>
          <w:highlight w:val="none"/>
        </w:rPr>
        <w:t xml:space="preserve"> </w:t>
      </w:r>
      <w:r>
        <w:rPr>
          <w:rFonts w:ascii="宋体" w:hAnsi="宋体" w:eastAsia="宋体" w:cs="宋体"/>
          <w:spacing w:val="-1"/>
          <w:sz w:val="24"/>
          <w:szCs w:val="24"/>
          <w:highlight w:val="none"/>
        </w:rPr>
        <w:t>及换件质保期）。</w:t>
      </w:r>
    </w:p>
    <w:p w14:paraId="1B93F07D">
      <w:pPr>
        <w:spacing w:before="153" w:line="315" w:lineRule="auto"/>
        <w:ind w:left="2" w:right="80" w:firstLine="313"/>
        <w:rPr>
          <w:rFonts w:ascii="宋体" w:hAnsi="宋体" w:eastAsia="宋体" w:cs="宋体"/>
          <w:sz w:val="24"/>
          <w:szCs w:val="24"/>
          <w:highlight w:val="none"/>
        </w:rPr>
      </w:pPr>
      <w:r>
        <w:rPr>
          <w:rFonts w:ascii="宋体" w:hAnsi="宋体" w:eastAsia="宋体" w:cs="宋体"/>
          <w:spacing w:val="-1"/>
          <w:sz w:val="24"/>
          <w:szCs w:val="24"/>
          <w:highlight w:val="none"/>
        </w:rPr>
        <w:t>8.2</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 xml:space="preserve">保修期内，乙方在接到甲方修理通知后  </w:t>
      </w:r>
      <w:r>
        <w:rPr>
          <w:rFonts w:ascii="宋体" w:hAnsi="宋体" w:eastAsia="宋体" w:cs="宋体"/>
          <w:spacing w:val="-2"/>
          <w:sz w:val="24"/>
          <w:szCs w:val="24"/>
          <w:highlight w:val="none"/>
        </w:rPr>
        <w:t>24</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小时内必须到达现场并开展维修，认真</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履行保修义务。若乙方未按时到场或未完成维修，甲方有权自行或委托第三方处理，所发 生的维修费用（含管理费，取费按当时市场价上浮 30%）从乙方的保修金中直接抵扣，不</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 xml:space="preserve">足部分乙方须另行补足。即使甲方委托第三方维修，乙方仍需对整体工程承担保修责任， </w:t>
      </w:r>
      <w:r>
        <w:rPr>
          <w:rFonts w:ascii="宋体" w:hAnsi="宋体" w:eastAsia="宋体" w:cs="宋体"/>
          <w:spacing w:val="-1"/>
          <w:sz w:val="24"/>
          <w:szCs w:val="24"/>
          <w:highlight w:val="none"/>
        </w:rPr>
        <w:t>直至保修期结束，不得因第三方介入而免除义务。</w:t>
      </w:r>
    </w:p>
    <w:p w14:paraId="10C13315">
      <w:pPr>
        <w:spacing w:before="153" w:line="309" w:lineRule="auto"/>
        <w:ind w:left="5" w:right="80" w:firstLine="310"/>
        <w:rPr>
          <w:rFonts w:ascii="宋体" w:hAnsi="宋体" w:eastAsia="宋体" w:cs="宋体"/>
          <w:sz w:val="24"/>
          <w:szCs w:val="24"/>
          <w:highlight w:val="none"/>
        </w:rPr>
      </w:pPr>
      <w:r>
        <w:rPr>
          <w:rFonts w:ascii="宋体" w:hAnsi="宋体" w:eastAsia="宋体" w:cs="宋体"/>
          <w:sz w:val="24"/>
          <w:szCs w:val="24"/>
          <w:highlight w:val="none"/>
        </w:rPr>
        <w:t>8.3</w:t>
      </w:r>
      <w:r>
        <w:rPr>
          <w:rFonts w:ascii="宋体" w:hAnsi="宋体" w:eastAsia="宋体" w:cs="宋体"/>
          <w:spacing w:val="-30"/>
          <w:sz w:val="24"/>
          <w:szCs w:val="24"/>
          <w:highlight w:val="none"/>
        </w:rPr>
        <w:t xml:space="preserve"> </w:t>
      </w:r>
      <w:r>
        <w:rPr>
          <w:rFonts w:ascii="宋体" w:hAnsi="宋体" w:eastAsia="宋体" w:cs="宋体"/>
          <w:sz w:val="24"/>
          <w:szCs w:val="24"/>
          <w:highlight w:val="none"/>
        </w:rPr>
        <w:t>因乙方保修责任未履行导致的维修费用，甲方可从保修金中直接扣除，扣</w:t>
      </w:r>
      <w:r>
        <w:rPr>
          <w:rFonts w:ascii="宋体" w:hAnsi="宋体" w:eastAsia="宋体" w:cs="宋体"/>
          <w:spacing w:val="-1"/>
          <w:sz w:val="24"/>
          <w:szCs w:val="24"/>
          <w:highlight w:val="none"/>
        </w:rPr>
        <w:t>除金额以</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实际发生费用及约定上浮比例为准。若保修金不足以覆盖费用，乙方须在收到甲方书</w:t>
      </w:r>
      <w:r>
        <w:rPr>
          <w:rFonts w:ascii="宋体" w:hAnsi="宋体" w:eastAsia="宋体" w:cs="宋体"/>
          <w:sz w:val="24"/>
          <w:szCs w:val="24"/>
          <w:highlight w:val="none"/>
        </w:rPr>
        <w:t xml:space="preserve">面通 </w:t>
      </w:r>
      <w:r>
        <w:rPr>
          <w:rFonts w:ascii="宋体" w:hAnsi="宋体" w:eastAsia="宋体" w:cs="宋体"/>
          <w:spacing w:val="1"/>
          <w:sz w:val="24"/>
          <w:szCs w:val="24"/>
          <w:highlight w:val="none"/>
        </w:rPr>
        <w:t>知后 10 个工作日内补足差额，否则甲方有权通过法律途径追偿（追偿包括</w:t>
      </w:r>
      <w:r>
        <w:rPr>
          <w:rFonts w:ascii="宋体" w:hAnsi="宋体" w:eastAsia="宋体" w:cs="宋体"/>
          <w:sz w:val="24"/>
          <w:szCs w:val="24"/>
          <w:highlight w:val="none"/>
        </w:rPr>
        <w:t xml:space="preserve">但不限于差旅 </w:t>
      </w:r>
      <w:r>
        <w:rPr>
          <w:rFonts w:ascii="宋体" w:hAnsi="宋体" w:eastAsia="宋体" w:cs="宋体"/>
          <w:spacing w:val="-1"/>
          <w:sz w:val="24"/>
          <w:szCs w:val="24"/>
          <w:highlight w:val="none"/>
        </w:rPr>
        <w:t>费、保全费、诉讼费等一切发生的费用）。</w:t>
      </w:r>
    </w:p>
    <w:p w14:paraId="10D3B06D">
      <w:pPr>
        <w:spacing w:before="154" w:line="299" w:lineRule="auto"/>
        <w:ind w:left="6" w:right="80" w:firstLine="309"/>
        <w:rPr>
          <w:rFonts w:ascii="宋体" w:hAnsi="宋体" w:eastAsia="宋体" w:cs="宋体"/>
          <w:sz w:val="24"/>
          <w:szCs w:val="24"/>
          <w:highlight w:val="none"/>
        </w:rPr>
      </w:pPr>
      <w:r>
        <w:rPr>
          <w:rFonts w:ascii="宋体" w:hAnsi="宋体" w:eastAsia="宋体" w:cs="宋体"/>
          <w:sz w:val="24"/>
          <w:szCs w:val="24"/>
          <w:highlight w:val="none"/>
        </w:rPr>
        <w:t>8.4</w:t>
      </w:r>
      <w:r>
        <w:rPr>
          <w:rFonts w:ascii="宋体" w:hAnsi="宋体" w:eastAsia="宋体" w:cs="宋体"/>
          <w:spacing w:val="-34"/>
          <w:sz w:val="24"/>
          <w:szCs w:val="24"/>
          <w:highlight w:val="none"/>
        </w:rPr>
        <w:t xml:space="preserve"> </w:t>
      </w:r>
      <w:r>
        <w:rPr>
          <w:rFonts w:ascii="宋体" w:hAnsi="宋体" w:eastAsia="宋体" w:cs="宋体"/>
          <w:sz w:val="24"/>
          <w:szCs w:val="24"/>
          <w:highlight w:val="none"/>
        </w:rPr>
        <w:t>特别约定：乙方须按所投包的专项保修要求（如包三的防水工程闭水试验、包四的 空调配件质保期等）提供额外服务，具体细节以比选文件“第三篇项目商务需求</w:t>
      </w:r>
      <w:r>
        <w:rPr>
          <w:rFonts w:ascii="宋体" w:hAnsi="宋体" w:eastAsia="宋体" w:cs="宋体"/>
          <w:spacing w:val="-84"/>
          <w:sz w:val="24"/>
          <w:szCs w:val="24"/>
          <w:highlight w:val="none"/>
        </w:rPr>
        <w:t xml:space="preserve"> </w:t>
      </w:r>
      <w:r>
        <w:rPr>
          <w:rFonts w:ascii="宋体" w:hAnsi="宋体" w:eastAsia="宋体" w:cs="宋体"/>
          <w:sz w:val="24"/>
          <w:szCs w:val="24"/>
          <w:highlight w:val="none"/>
        </w:rPr>
        <w:t xml:space="preserve">”对应包 </w:t>
      </w:r>
      <w:r>
        <w:rPr>
          <w:rFonts w:ascii="宋体" w:hAnsi="宋体" w:eastAsia="宋体" w:cs="宋体"/>
          <w:spacing w:val="-3"/>
          <w:sz w:val="24"/>
          <w:szCs w:val="24"/>
          <w:highlight w:val="none"/>
        </w:rPr>
        <w:t>号条款为准。</w:t>
      </w:r>
    </w:p>
    <w:p w14:paraId="1A765F92">
      <w:pPr>
        <w:spacing w:before="154" w:line="219" w:lineRule="auto"/>
        <w:rPr>
          <w:rFonts w:ascii="宋体" w:hAnsi="宋体" w:eastAsia="宋体" w:cs="宋体"/>
          <w:sz w:val="24"/>
          <w:szCs w:val="24"/>
          <w:highlight w:val="none"/>
        </w:rPr>
      </w:pPr>
      <w:r>
        <w:rPr>
          <w:rFonts w:ascii="宋体" w:hAnsi="宋体" w:eastAsia="宋体" w:cs="宋体"/>
          <w:spacing w:val="-2"/>
          <w:sz w:val="24"/>
          <w:szCs w:val="24"/>
          <w:highlight w:val="none"/>
        </w:rPr>
        <w:t>第九条 争议解决</w:t>
      </w:r>
    </w:p>
    <w:p w14:paraId="70A40E19">
      <w:pPr>
        <w:spacing w:line="219" w:lineRule="auto"/>
        <w:rPr>
          <w:rFonts w:ascii="宋体" w:hAnsi="宋体" w:eastAsia="宋体" w:cs="宋体"/>
          <w:sz w:val="24"/>
          <w:szCs w:val="24"/>
          <w:highlight w:val="none"/>
        </w:rPr>
        <w:sectPr>
          <w:footerReference r:id="rId20" w:type="default"/>
          <w:pgSz w:w="11907" w:h="16840"/>
          <w:pgMar w:top="820" w:right="1110" w:bottom="1200" w:left="1311" w:header="0" w:footer="996" w:gutter="0"/>
          <w:cols w:space="720" w:num="1"/>
        </w:sectPr>
      </w:pPr>
    </w:p>
    <w:p w14:paraId="3CEFCA8A">
      <w:pPr>
        <w:spacing w:before="41" w:line="355" w:lineRule="auto"/>
        <w:ind w:left="482" w:right="59" w:hanging="449"/>
        <w:rPr>
          <w:rFonts w:ascii="宋体" w:hAnsi="宋体" w:eastAsia="宋体" w:cs="宋体"/>
          <w:sz w:val="24"/>
          <w:szCs w:val="24"/>
          <w:highlight w:val="none"/>
        </w:rPr>
      </w:pPr>
      <w:r>
        <w:rPr>
          <w:rFonts w:hint="eastAsia" w:ascii="仿宋" w:hAnsi="仿宋" w:eastAsia="仿宋" w:cs="仿宋"/>
          <w:spacing w:val="5"/>
          <w:sz w:val="20"/>
          <w:szCs w:val="20"/>
          <w:highlight w:val="none"/>
          <w:lang w:eastAsia="zh-CN"/>
        </w:rPr>
        <w:t xml:space="preserve"> </w:t>
      </w:r>
      <w:r>
        <w:rPr>
          <w:rFonts w:ascii="仿宋" w:hAnsi="仿宋" w:eastAsia="仿宋" w:cs="仿宋"/>
          <w:sz w:val="20"/>
          <w:szCs w:val="20"/>
          <w:highlight w:val="none"/>
        </w:rPr>
        <w:t xml:space="preserve"> </w:t>
      </w:r>
      <w:r>
        <w:rPr>
          <w:rFonts w:ascii="宋体" w:hAnsi="宋体" w:eastAsia="宋体" w:cs="宋体"/>
          <w:spacing w:val="1"/>
          <w:sz w:val="24"/>
          <w:szCs w:val="24"/>
          <w:highlight w:val="none"/>
        </w:rPr>
        <w:t>本合同履行过程中如发生争议，双方应协商解决；协商不成，可向甲方所在地有管辖</w:t>
      </w:r>
    </w:p>
    <w:p w14:paraId="2C0818A9">
      <w:pPr>
        <w:spacing w:before="12" w:line="326" w:lineRule="auto"/>
        <w:ind w:right="6871"/>
        <w:rPr>
          <w:rFonts w:ascii="宋体" w:hAnsi="宋体" w:eastAsia="宋体" w:cs="宋体"/>
          <w:sz w:val="24"/>
          <w:szCs w:val="24"/>
          <w:highlight w:val="none"/>
        </w:rPr>
      </w:pPr>
      <w:r>
        <w:rPr>
          <w:rFonts w:ascii="宋体" w:hAnsi="宋体" w:eastAsia="宋体" w:cs="宋体"/>
          <w:spacing w:val="-5"/>
          <w:sz w:val="24"/>
          <w:szCs w:val="24"/>
          <w:highlight w:val="none"/>
        </w:rPr>
        <w:t>权的人民法院提起诉讼。</w:t>
      </w:r>
      <w:r>
        <w:rPr>
          <w:rFonts w:ascii="宋体" w:hAnsi="宋体" w:eastAsia="宋体" w:cs="宋体"/>
          <w:spacing w:val="5"/>
          <w:sz w:val="24"/>
          <w:szCs w:val="24"/>
          <w:highlight w:val="none"/>
        </w:rPr>
        <w:t xml:space="preserve"> </w:t>
      </w:r>
      <w:r>
        <w:rPr>
          <w:rFonts w:ascii="宋体" w:hAnsi="宋体" w:eastAsia="宋体" w:cs="宋体"/>
          <w:spacing w:val="-4"/>
          <w:sz w:val="24"/>
          <w:szCs w:val="24"/>
          <w:highlight w:val="none"/>
        </w:rPr>
        <w:t>第十条</w:t>
      </w:r>
      <w:r>
        <w:rPr>
          <w:rFonts w:ascii="宋体" w:hAnsi="宋体" w:eastAsia="宋体" w:cs="宋体"/>
          <w:spacing w:val="5"/>
          <w:sz w:val="24"/>
          <w:szCs w:val="24"/>
          <w:highlight w:val="none"/>
        </w:rPr>
        <w:t xml:space="preserve">  </w:t>
      </w:r>
      <w:r>
        <w:rPr>
          <w:rFonts w:ascii="宋体" w:hAnsi="宋体" w:eastAsia="宋体" w:cs="宋体"/>
          <w:spacing w:val="-4"/>
          <w:sz w:val="24"/>
          <w:szCs w:val="24"/>
          <w:highlight w:val="none"/>
        </w:rPr>
        <w:t>其</w:t>
      </w:r>
      <w:r>
        <w:rPr>
          <w:rFonts w:ascii="宋体" w:hAnsi="宋体" w:eastAsia="宋体" w:cs="宋体"/>
          <w:spacing w:val="7"/>
          <w:sz w:val="24"/>
          <w:szCs w:val="24"/>
          <w:highlight w:val="none"/>
        </w:rPr>
        <w:t xml:space="preserve">  </w:t>
      </w:r>
      <w:r>
        <w:rPr>
          <w:rFonts w:ascii="宋体" w:hAnsi="宋体" w:eastAsia="宋体" w:cs="宋体"/>
          <w:spacing w:val="-4"/>
          <w:sz w:val="24"/>
          <w:szCs w:val="24"/>
          <w:highlight w:val="none"/>
        </w:rPr>
        <w:t>它</w:t>
      </w:r>
    </w:p>
    <w:p w14:paraId="784ED2EA">
      <w:pPr>
        <w:spacing w:before="31" w:line="219" w:lineRule="auto"/>
        <w:ind w:left="334"/>
        <w:rPr>
          <w:rFonts w:ascii="宋体" w:hAnsi="宋体" w:eastAsia="宋体" w:cs="宋体"/>
          <w:sz w:val="24"/>
          <w:szCs w:val="24"/>
          <w:highlight w:val="none"/>
        </w:rPr>
      </w:pPr>
      <w:r>
        <w:rPr>
          <w:rFonts w:ascii="宋体" w:hAnsi="宋体" w:eastAsia="宋体" w:cs="宋体"/>
          <w:spacing w:val="-1"/>
          <w:sz w:val="24"/>
          <w:szCs w:val="24"/>
          <w:highlight w:val="none"/>
        </w:rPr>
        <w:t>10.1</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本合同自双方签字盖章之日起生效，一式肆份，甲乙双方</w:t>
      </w:r>
      <w:r>
        <w:rPr>
          <w:rFonts w:ascii="宋体" w:hAnsi="宋体" w:eastAsia="宋体" w:cs="宋体"/>
          <w:spacing w:val="-2"/>
          <w:sz w:val="24"/>
          <w:szCs w:val="24"/>
          <w:highlight w:val="none"/>
        </w:rPr>
        <w:t>各执贰份。</w:t>
      </w:r>
    </w:p>
    <w:p w14:paraId="195D983A">
      <w:pPr>
        <w:spacing w:before="154" w:line="219" w:lineRule="auto"/>
        <w:jc w:val="right"/>
        <w:rPr>
          <w:rFonts w:ascii="宋体" w:hAnsi="宋体" w:eastAsia="宋体" w:cs="宋体"/>
          <w:sz w:val="24"/>
          <w:szCs w:val="24"/>
          <w:highlight w:val="none"/>
        </w:rPr>
      </w:pPr>
      <w:r>
        <w:rPr>
          <w:rFonts w:ascii="宋体" w:hAnsi="宋体" w:eastAsia="宋体" w:cs="宋体"/>
          <w:spacing w:val="-8"/>
          <w:sz w:val="24"/>
          <w:szCs w:val="24"/>
          <w:highlight w:val="none"/>
        </w:rPr>
        <w:t>10.2</w:t>
      </w:r>
      <w:r>
        <w:rPr>
          <w:rFonts w:ascii="宋体" w:hAnsi="宋体" w:eastAsia="宋体" w:cs="宋体"/>
          <w:spacing w:val="-23"/>
          <w:sz w:val="24"/>
          <w:szCs w:val="24"/>
          <w:highlight w:val="none"/>
        </w:rPr>
        <w:t xml:space="preserve"> </w:t>
      </w:r>
      <w:r>
        <w:rPr>
          <w:rFonts w:ascii="宋体" w:hAnsi="宋体" w:eastAsia="宋体" w:cs="宋体"/>
          <w:spacing w:val="-8"/>
          <w:sz w:val="24"/>
          <w:szCs w:val="24"/>
          <w:highlight w:val="none"/>
        </w:rPr>
        <w:t>比选文件、乙方响应文件、成交通知书作为合同附件，与本合同具有同等法律效力；</w:t>
      </w:r>
    </w:p>
    <w:p w14:paraId="4A00DD22">
      <w:pPr>
        <w:spacing w:before="157" w:line="279" w:lineRule="auto"/>
        <w:ind w:right="17" w:firstLine="334"/>
        <w:rPr>
          <w:rFonts w:ascii="宋体" w:hAnsi="宋体" w:eastAsia="宋体" w:cs="宋体"/>
          <w:sz w:val="24"/>
          <w:szCs w:val="24"/>
          <w:highlight w:val="none"/>
        </w:rPr>
      </w:pPr>
      <w:r>
        <w:rPr>
          <w:rFonts w:ascii="宋体" w:hAnsi="宋体" w:eastAsia="宋体" w:cs="宋体"/>
          <w:spacing w:val="-2"/>
          <w:sz w:val="24"/>
          <w:szCs w:val="24"/>
          <w:highlight w:val="none"/>
        </w:rPr>
        <w:t>10.3</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未尽事宜，双方可签订补充协议，补充协议与本合同不一致的，以补充协议为</w:t>
      </w:r>
      <w:r>
        <w:rPr>
          <w:rFonts w:ascii="宋体" w:hAnsi="宋体" w:eastAsia="宋体" w:cs="宋体"/>
          <w:spacing w:val="-3"/>
          <w:sz w:val="24"/>
          <w:szCs w:val="24"/>
          <w:highlight w:val="none"/>
        </w:rPr>
        <w:t>准。</w:t>
      </w:r>
      <w:r>
        <w:rPr>
          <w:rFonts w:ascii="宋体" w:hAnsi="宋体" w:eastAsia="宋体" w:cs="宋体"/>
          <w:sz w:val="24"/>
          <w:szCs w:val="24"/>
          <w:highlight w:val="none"/>
        </w:rPr>
        <w:t xml:space="preserve"> -----------------以下无正文-----------------</w:t>
      </w:r>
    </w:p>
    <w:p w14:paraId="076EB5A4">
      <w:pPr>
        <w:pStyle w:val="2"/>
        <w:spacing w:line="316" w:lineRule="auto"/>
        <w:rPr>
          <w:highlight w:val="none"/>
        </w:rPr>
      </w:pPr>
    </w:p>
    <w:p w14:paraId="6CA0E124">
      <w:pPr>
        <w:pStyle w:val="2"/>
        <w:spacing w:line="316" w:lineRule="auto"/>
        <w:rPr>
          <w:highlight w:val="none"/>
        </w:rPr>
      </w:pPr>
    </w:p>
    <w:p w14:paraId="3D2E1AB7">
      <w:pPr>
        <w:pStyle w:val="2"/>
        <w:spacing w:line="317" w:lineRule="auto"/>
        <w:rPr>
          <w:highlight w:val="none"/>
        </w:rPr>
      </w:pPr>
    </w:p>
    <w:p w14:paraId="1ADC4A7E">
      <w:pPr>
        <w:spacing w:before="79" w:line="219" w:lineRule="auto"/>
        <w:ind w:left="32"/>
        <w:rPr>
          <w:rFonts w:ascii="宋体" w:hAnsi="宋体" w:eastAsia="宋体" w:cs="宋体"/>
          <w:sz w:val="24"/>
          <w:szCs w:val="24"/>
          <w:highlight w:val="none"/>
        </w:rPr>
      </w:pPr>
      <w:r>
        <w:rPr>
          <w:rFonts w:ascii="宋体" w:hAnsi="宋体" w:eastAsia="宋体" w:cs="宋体"/>
          <w:spacing w:val="-9"/>
          <w:sz w:val="24"/>
          <w:szCs w:val="24"/>
          <w:highlight w:val="none"/>
        </w:rPr>
        <w:t>甲方（盖章</w:t>
      </w:r>
      <w:r>
        <w:rPr>
          <w:rFonts w:ascii="宋体" w:hAnsi="宋体" w:eastAsia="宋体" w:cs="宋体"/>
          <w:spacing w:val="1"/>
          <w:sz w:val="24"/>
          <w:szCs w:val="24"/>
          <w:highlight w:val="none"/>
        </w:rPr>
        <w:t>）：</w:t>
      </w:r>
    </w:p>
    <w:p w14:paraId="0A6BD6F5">
      <w:pPr>
        <w:spacing w:before="154" w:line="327" w:lineRule="auto"/>
        <w:ind w:left="2" w:right="6171"/>
        <w:rPr>
          <w:rFonts w:ascii="宋体" w:hAnsi="宋体" w:eastAsia="宋体" w:cs="宋体"/>
          <w:sz w:val="24"/>
          <w:szCs w:val="24"/>
          <w:highlight w:val="none"/>
        </w:rPr>
      </w:pPr>
      <w:r>
        <w:rPr>
          <w:rFonts w:ascii="宋体" w:hAnsi="宋体" w:eastAsia="宋体" w:cs="宋体"/>
          <w:spacing w:val="-1"/>
          <w:sz w:val="24"/>
          <w:szCs w:val="24"/>
          <w:highlight w:val="none"/>
        </w:rPr>
        <w:t>法定（授权）代表人（签字</w:t>
      </w:r>
      <w:r>
        <w:rPr>
          <w:rFonts w:ascii="宋体" w:hAnsi="宋体" w:eastAsia="宋体" w:cs="宋体"/>
          <w:spacing w:val="-30"/>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纳税</w:t>
      </w:r>
    </w:p>
    <w:p w14:paraId="5AB22AAD">
      <w:pPr>
        <w:spacing w:before="30" w:line="326" w:lineRule="auto"/>
        <w:ind w:left="29" w:right="8331" w:hanging="28"/>
        <w:rPr>
          <w:rFonts w:ascii="宋体" w:hAnsi="宋体" w:eastAsia="宋体" w:cs="宋体"/>
          <w:sz w:val="24"/>
          <w:szCs w:val="24"/>
          <w:highlight w:val="none"/>
        </w:rPr>
      </w:pPr>
      <w:r>
        <w:rPr>
          <w:rFonts w:ascii="宋体" w:hAnsi="宋体" w:eastAsia="宋体" w:cs="宋体"/>
          <w:spacing w:val="-14"/>
          <w:sz w:val="24"/>
          <w:szCs w:val="24"/>
          <w:highlight w:val="none"/>
        </w:rPr>
        <w:t>注册地址：</w:t>
      </w:r>
      <w:r>
        <w:rPr>
          <w:rFonts w:ascii="宋体" w:hAnsi="宋体" w:eastAsia="宋体" w:cs="宋体"/>
          <w:sz w:val="24"/>
          <w:szCs w:val="24"/>
          <w:highlight w:val="none"/>
        </w:rPr>
        <w:t xml:space="preserve"> </w:t>
      </w:r>
      <w:r>
        <w:rPr>
          <w:rFonts w:ascii="宋体" w:hAnsi="宋体" w:eastAsia="宋体" w:cs="宋体"/>
          <w:spacing w:val="-13"/>
          <w:sz w:val="24"/>
          <w:szCs w:val="24"/>
          <w:highlight w:val="none"/>
        </w:rPr>
        <w:t>电话：</w:t>
      </w:r>
    </w:p>
    <w:p w14:paraId="2057E6A9">
      <w:pPr>
        <w:spacing w:before="35" w:line="220" w:lineRule="auto"/>
        <w:ind w:left="1"/>
        <w:rPr>
          <w:rFonts w:ascii="宋体" w:hAnsi="宋体" w:eastAsia="宋体" w:cs="宋体"/>
          <w:sz w:val="24"/>
          <w:szCs w:val="24"/>
          <w:highlight w:val="none"/>
        </w:rPr>
      </w:pPr>
      <w:r>
        <w:rPr>
          <w:rFonts w:ascii="宋体" w:hAnsi="宋体" w:eastAsia="宋体" w:cs="宋体"/>
          <w:spacing w:val="-2"/>
          <w:sz w:val="24"/>
          <w:szCs w:val="24"/>
          <w:highlight w:val="none"/>
        </w:rPr>
        <w:t>签订日期：</w:t>
      </w:r>
    </w:p>
    <w:p w14:paraId="47EB8EEB">
      <w:pPr>
        <w:pStyle w:val="2"/>
        <w:spacing w:line="316" w:lineRule="auto"/>
        <w:rPr>
          <w:highlight w:val="none"/>
        </w:rPr>
      </w:pPr>
    </w:p>
    <w:p w14:paraId="08E5F77E">
      <w:pPr>
        <w:pStyle w:val="2"/>
        <w:spacing w:line="316" w:lineRule="auto"/>
        <w:rPr>
          <w:highlight w:val="none"/>
        </w:rPr>
      </w:pPr>
    </w:p>
    <w:p w14:paraId="5A2FE0D3">
      <w:pPr>
        <w:pStyle w:val="2"/>
        <w:spacing w:line="317" w:lineRule="auto"/>
        <w:rPr>
          <w:highlight w:val="none"/>
        </w:rPr>
      </w:pPr>
    </w:p>
    <w:p w14:paraId="73D9C694">
      <w:pPr>
        <w:spacing w:before="78" w:line="219" w:lineRule="auto"/>
        <w:ind w:left="25"/>
        <w:rPr>
          <w:rFonts w:ascii="宋体" w:hAnsi="宋体" w:eastAsia="宋体" w:cs="宋体"/>
          <w:sz w:val="24"/>
          <w:szCs w:val="24"/>
          <w:highlight w:val="none"/>
        </w:rPr>
      </w:pPr>
      <w:r>
        <w:rPr>
          <w:rFonts w:ascii="宋体" w:hAnsi="宋体" w:eastAsia="宋体" w:cs="宋体"/>
          <w:spacing w:val="-7"/>
          <w:sz w:val="24"/>
          <w:szCs w:val="24"/>
          <w:highlight w:val="none"/>
        </w:rPr>
        <w:t>乙方（盖章</w:t>
      </w:r>
      <w:r>
        <w:rPr>
          <w:rFonts w:ascii="宋体" w:hAnsi="宋体" w:eastAsia="宋体" w:cs="宋体"/>
          <w:sz w:val="24"/>
          <w:szCs w:val="24"/>
          <w:highlight w:val="none"/>
        </w:rPr>
        <w:t>）：</w:t>
      </w:r>
    </w:p>
    <w:p w14:paraId="12404EF2">
      <w:pPr>
        <w:spacing w:before="155" w:line="325" w:lineRule="auto"/>
        <w:ind w:left="2" w:right="6171"/>
        <w:rPr>
          <w:rFonts w:ascii="宋体" w:hAnsi="宋体" w:eastAsia="宋体" w:cs="宋体"/>
          <w:sz w:val="24"/>
          <w:szCs w:val="24"/>
          <w:highlight w:val="none"/>
        </w:rPr>
      </w:pPr>
      <w:r>
        <w:rPr>
          <w:rFonts w:ascii="宋体" w:hAnsi="宋体" w:eastAsia="宋体" w:cs="宋体"/>
          <w:spacing w:val="-1"/>
          <w:sz w:val="24"/>
          <w:szCs w:val="24"/>
          <w:highlight w:val="none"/>
        </w:rPr>
        <w:t>法定（授权）代表人（签字</w:t>
      </w:r>
      <w:r>
        <w:rPr>
          <w:rFonts w:ascii="宋体" w:hAnsi="宋体" w:eastAsia="宋体" w:cs="宋体"/>
          <w:spacing w:val="-30"/>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纳税人识别号：</w:t>
      </w:r>
    </w:p>
    <w:p w14:paraId="7F73F052">
      <w:pPr>
        <w:spacing w:before="36" w:line="220" w:lineRule="auto"/>
        <w:ind w:left="2"/>
        <w:rPr>
          <w:rFonts w:ascii="宋体" w:hAnsi="宋体" w:eastAsia="宋体" w:cs="宋体"/>
          <w:sz w:val="24"/>
          <w:szCs w:val="24"/>
          <w:highlight w:val="none"/>
        </w:rPr>
      </w:pPr>
      <w:r>
        <w:rPr>
          <w:rFonts w:ascii="宋体" w:hAnsi="宋体" w:eastAsia="宋体" w:cs="宋体"/>
          <w:spacing w:val="-3"/>
          <w:sz w:val="24"/>
          <w:szCs w:val="24"/>
          <w:highlight w:val="none"/>
        </w:rPr>
        <w:t>开户行：</w:t>
      </w:r>
    </w:p>
    <w:p w14:paraId="1B0EA5D2">
      <w:pPr>
        <w:spacing w:before="154" w:line="325" w:lineRule="auto"/>
        <w:ind w:left="5" w:right="8331"/>
        <w:rPr>
          <w:rFonts w:ascii="宋体" w:hAnsi="宋体" w:eastAsia="宋体" w:cs="宋体"/>
          <w:sz w:val="24"/>
          <w:szCs w:val="24"/>
          <w:highlight w:val="none"/>
        </w:rPr>
      </w:pPr>
      <w:r>
        <w:rPr>
          <w:rFonts w:ascii="宋体" w:hAnsi="宋体" w:eastAsia="宋体" w:cs="宋体"/>
          <w:spacing w:val="-15"/>
          <w:sz w:val="24"/>
          <w:szCs w:val="24"/>
          <w:highlight w:val="none"/>
        </w:rPr>
        <w:t>账户名称：</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账号：</w:t>
      </w:r>
    </w:p>
    <w:p w14:paraId="121919C5">
      <w:pPr>
        <w:spacing w:before="34" w:line="326" w:lineRule="auto"/>
        <w:ind w:left="29" w:right="8331" w:hanging="28"/>
        <w:rPr>
          <w:rFonts w:ascii="宋体" w:hAnsi="宋体" w:eastAsia="宋体" w:cs="宋体"/>
          <w:sz w:val="24"/>
          <w:szCs w:val="24"/>
          <w:highlight w:val="none"/>
        </w:rPr>
      </w:pPr>
      <w:r>
        <w:rPr>
          <w:rFonts w:ascii="宋体" w:hAnsi="宋体" w:eastAsia="宋体" w:cs="宋体"/>
          <w:spacing w:val="-14"/>
          <w:sz w:val="24"/>
          <w:szCs w:val="24"/>
          <w:highlight w:val="none"/>
        </w:rPr>
        <w:t>注册地址：</w:t>
      </w:r>
      <w:r>
        <w:rPr>
          <w:rFonts w:ascii="宋体" w:hAnsi="宋体" w:eastAsia="宋体" w:cs="宋体"/>
          <w:sz w:val="24"/>
          <w:szCs w:val="24"/>
          <w:highlight w:val="none"/>
        </w:rPr>
        <w:t xml:space="preserve"> </w:t>
      </w:r>
      <w:r>
        <w:rPr>
          <w:rFonts w:ascii="宋体" w:hAnsi="宋体" w:eastAsia="宋体" w:cs="宋体"/>
          <w:spacing w:val="-13"/>
          <w:sz w:val="24"/>
          <w:szCs w:val="24"/>
          <w:highlight w:val="none"/>
        </w:rPr>
        <w:t>电话：</w:t>
      </w:r>
    </w:p>
    <w:p w14:paraId="06EDE500">
      <w:pPr>
        <w:spacing w:before="48" w:line="221" w:lineRule="auto"/>
        <w:ind w:left="1"/>
        <w:rPr>
          <w:rFonts w:ascii="宋体" w:hAnsi="宋体" w:eastAsia="宋体" w:cs="宋体"/>
          <w:sz w:val="22"/>
          <w:szCs w:val="22"/>
          <w:highlight w:val="none"/>
        </w:rPr>
      </w:pPr>
      <w:r>
        <w:rPr>
          <w:rFonts w:ascii="宋体" w:hAnsi="宋体" w:eastAsia="宋体" w:cs="宋体"/>
          <w:spacing w:val="-2"/>
          <w:sz w:val="22"/>
          <w:szCs w:val="22"/>
          <w:highlight w:val="none"/>
        </w:rPr>
        <w:t>签订日期：</w:t>
      </w:r>
    </w:p>
    <w:p w14:paraId="019F9473">
      <w:pPr>
        <w:spacing w:line="221" w:lineRule="auto"/>
        <w:rPr>
          <w:rFonts w:ascii="宋体" w:hAnsi="宋体" w:eastAsia="宋体" w:cs="宋体"/>
          <w:sz w:val="22"/>
          <w:szCs w:val="22"/>
          <w:highlight w:val="none"/>
        </w:rPr>
        <w:sectPr>
          <w:footerReference r:id="rId21" w:type="default"/>
          <w:pgSz w:w="11907" w:h="16840"/>
          <w:pgMar w:top="820" w:right="1132" w:bottom="1200" w:left="1310" w:header="0" w:footer="996" w:gutter="0"/>
          <w:cols w:space="720" w:num="1"/>
        </w:sectPr>
      </w:pPr>
    </w:p>
    <w:p w14:paraId="04519C5B">
      <w:pPr>
        <w:spacing w:before="42" w:line="229" w:lineRule="auto"/>
        <w:jc w:val="right"/>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3AE18853">
      <w:pPr>
        <w:spacing w:before="86" w:line="217" w:lineRule="auto"/>
        <w:ind w:left="2511"/>
        <w:outlineLvl w:val="0"/>
        <w:rPr>
          <w:rFonts w:ascii="微软雅黑" w:hAnsi="微软雅黑" w:eastAsia="微软雅黑" w:cs="微软雅黑"/>
          <w:sz w:val="35"/>
          <w:szCs w:val="35"/>
          <w:highlight w:val="none"/>
        </w:rPr>
      </w:pPr>
      <w:bookmarkStart w:id="56" w:name="bookmark50"/>
      <w:bookmarkEnd w:id="56"/>
      <w:r>
        <w:rPr>
          <w:rFonts w:ascii="微软雅黑" w:hAnsi="微软雅黑" w:eastAsia="微软雅黑" w:cs="微软雅黑"/>
          <w:spacing w:val="8"/>
          <w:sz w:val="35"/>
          <w:szCs w:val="35"/>
          <w:highlight w:val="none"/>
        </w:rPr>
        <w:t>第七篇</w:t>
      </w:r>
      <w:r>
        <w:rPr>
          <w:rFonts w:ascii="微软雅黑" w:hAnsi="微软雅黑" w:eastAsia="微软雅黑" w:cs="微软雅黑"/>
          <w:spacing w:val="21"/>
          <w:sz w:val="35"/>
          <w:szCs w:val="35"/>
          <w:highlight w:val="none"/>
        </w:rPr>
        <w:t xml:space="preserve">   </w:t>
      </w:r>
      <w:r>
        <w:rPr>
          <w:rFonts w:ascii="微软雅黑" w:hAnsi="微软雅黑" w:eastAsia="微软雅黑" w:cs="微软雅黑"/>
          <w:spacing w:val="8"/>
          <w:sz w:val="35"/>
          <w:szCs w:val="35"/>
          <w:highlight w:val="none"/>
        </w:rPr>
        <w:t>响应文件编制要求</w:t>
      </w:r>
    </w:p>
    <w:p w14:paraId="09AE372F">
      <w:pPr>
        <w:pStyle w:val="2"/>
        <w:spacing w:line="298" w:lineRule="auto"/>
        <w:rPr>
          <w:highlight w:val="none"/>
        </w:rPr>
      </w:pPr>
    </w:p>
    <w:p w14:paraId="5A970B4F">
      <w:pPr>
        <w:spacing w:before="78" w:line="219" w:lineRule="auto"/>
        <w:ind w:left="452"/>
        <w:rPr>
          <w:rFonts w:ascii="宋体" w:hAnsi="宋体" w:eastAsia="宋体" w:cs="宋体"/>
          <w:sz w:val="24"/>
          <w:szCs w:val="24"/>
          <w:highlight w:val="none"/>
        </w:rPr>
      </w:pPr>
      <w:r>
        <w:rPr>
          <w:rFonts w:ascii="宋体" w:hAnsi="宋体" w:eastAsia="宋体" w:cs="宋体"/>
          <w:spacing w:val="-2"/>
          <w:sz w:val="24"/>
          <w:szCs w:val="24"/>
          <w:highlight w:val="none"/>
        </w:rPr>
        <w:t>一、响应文件封面</w:t>
      </w:r>
    </w:p>
    <w:p w14:paraId="277C06F3">
      <w:pPr>
        <w:spacing w:before="154" w:line="219" w:lineRule="auto"/>
        <w:ind w:left="452"/>
        <w:rPr>
          <w:rFonts w:ascii="宋体" w:hAnsi="宋体" w:eastAsia="宋体" w:cs="宋体"/>
          <w:sz w:val="24"/>
          <w:szCs w:val="24"/>
          <w:highlight w:val="none"/>
        </w:rPr>
      </w:pPr>
      <w:r>
        <w:rPr>
          <w:rFonts w:ascii="宋体" w:hAnsi="宋体" w:eastAsia="宋体" w:cs="宋体"/>
          <w:spacing w:val="-3"/>
          <w:sz w:val="24"/>
          <w:szCs w:val="24"/>
          <w:highlight w:val="none"/>
        </w:rPr>
        <w:t>二、经济部分</w:t>
      </w:r>
    </w:p>
    <w:p w14:paraId="641489E7">
      <w:pPr>
        <w:spacing w:before="155" w:line="279" w:lineRule="auto"/>
        <w:ind w:left="448" w:right="6225" w:firstLine="11"/>
        <w:rPr>
          <w:rFonts w:ascii="宋体" w:hAnsi="宋体" w:eastAsia="宋体" w:cs="宋体"/>
          <w:sz w:val="24"/>
          <w:szCs w:val="24"/>
          <w:highlight w:val="none"/>
        </w:rPr>
      </w:pPr>
      <w:r>
        <w:rPr>
          <w:rFonts w:ascii="宋体" w:hAnsi="宋体" w:eastAsia="宋体" w:cs="宋体"/>
          <w:spacing w:val="-2"/>
          <w:sz w:val="24"/>
          <w:szCs w:val="24"/>
          <w:highlight w:val="none"/>
        </w:rPr>
        <w:t>（一）竞争性比选报价函</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三、技术（质量）部分</w:t>
      </w:r>
    </w:p>
    <w:p w14:paraId="333DD1FF">
      <w:pPr>
        <w:spacing w:before="154" w:line="219" w:lineRule="auto"/>
        <w:ind w:left="460"/>
        <w:rPr>
          <w:rFonts w:ascii="宋体" w:hAnsi="宋体" w:eastAsia="宋体" w:cs="宋体"/>
          <w:sz w:val="24"/>
          <w:szCs w:val="24"/>
          <w:highlight w:val="none"/>
        </w:rPr>
      </w:pPr>
      <w:r>
        <w:rPr>
          <w:rFonts w:ascii="宋体" w:hAnsi="宋体" w:eastAsia="宋体" w:cs="宋体"/>
          <w:spacing w:val="-3"/>
          <w:sz w:val="24"/>
          <w:szCs w:val="24"/>
          <w:highlight w:val="none"/>
        </w:rPr>
        <w:t>（一）技术响应偏离表</w:t>
      </w:r>
    </w:p>
    <w:p w14:paraId="7470382B">
      <w:pPr>
        <w:spacing w:before="156" w:line="219" w:lineRule="auto"/>
        <w:ind w:left="460"/>
        <w:rPr>
          <w:rFonts w:ascii="宋体" w:hAnsi="宋体" w:eastAsia="宋体" w:cs="宋体"/>
          <w:sz w:val="24"/>
          <w:szCs w:val="24"/>
          <w:highlight w:val="none"/>
        </w:rPr>
      </w:pPr>
      <w:r>
        <w:rPr>
          <w:rFonts w:ascii="宋体" w:hAnsi="宋体" w:eastAsia="宋体" w:cs="宋体"/>
          <w:spacing w:val="-2"/>
          <w:sz w:val="24"/>
          <w:szCs w:val="24"/>
          <w:highlight w:val="none"/>
        </w:rPr>
        <w:t>（二）技术评审需提供的材料（格式自定）</w:t>
      </w:r>
    </w:p>
    <w:p w14:paraId="4491E5F8">
      <w:pPr>
        <w:spacing w:before="124" w:line="218" w:lineRule="auto"/>
        <w:ind w:left="460"/>
        <w:rPr>
          <w:rFonts w:ascii="宋体" w:hAnsi="宋体" w:eastAsia="宋体" w:cs="宋体"/>
          <w:sz w:val="24"/>
          <w:szCs w:val="24"/>
          <w:highlight w:val="none"/>
        </w:rPr>
      </w:pPr>
      <w:r>
        <w:rPr>
          <w:rFonts w:ascii="宋体" w:hAnsi="宋体" w:eastAsia="宋体" w:cs="宋体"/>
          <w:spacing w:val="-1"/>
          <w:sz w:val="24"/>
          <w:szCs w:val="24"/>
          <w:highlight w:val="none"/>
        </w:rPr>
        <w:t>（三）常用备品备件及易损件价格清单（格式自定）</w:t>
      </w:r>
    </w:p>
    <w:p w14:paraId="0766275E">
      <w:pPr>
        <w:spacing w:before="149" w:line="219" w:lineRule="auto"/>
        <w:ind w:left="471"/>
        <w:rPr>
          <w:rFonts w:ascii="宋体" w:hAnsi="宋体" w:eastAsia="宋体" w:cs="宋体"/>
          <w:sz w:val="24"/>
          <w:szCs w:val="24"/>
          <w:highlight w:val="none"/>
        </w:rPr>
      </w:pPr>
      <w:r>
        <w:rPr>
          <w:rFonts w:ascii="宋体" w:hAnsi="宋体" w:eastAsia="宋体" w:cs="宋体"/>
          <w:spacing w:val="-6"/>
          <w:sz w:val="24"/>
          <w:szCs w:val="24"/>
          <w:highlight w:val="none"/>
        </w:rPr>
        <w:t>四、商务部分</w:t>
      </w:r>
    </w:p>
    <w:p w14:paraId="6BBD77F0">
      <w:pPr>
        <w:spacing w:before="154" w:line="219" w:lineRule="auto"/>
        <w:ind w:left="460"/>
        <w:rPr>
          <w:rFonts w:ascii="宋体" w:hAnsi="宋体" w:eastAsia="宋体" w:cs="宋体"/>
          <w:sz w:val="24"/>
          <w:szCs w:val="24"/>
          <w:highlight w:val="none"/>
        </w:rPr>
      </w:pPr>
      <w:r>
        <w:rPr>
          <w:rFonts w:ascii="宋体" w:hAnsi="宋体" w:eastAsia="宋体" w:cs="宋体"/>
          <w:spacing w:val="-1"/>
          <w:sz w:val="24"/>
          <w:szCs w:val="24"/>
          <w:highlight w:val="none"/>
        </w:rPr>
        <w:t>（一）商务要求响应情况：实施时间、地点及验收方式等。</w:t>
      </w:r>
    </w:p>
    <w:p w14:paraId="01AF174A">
      <w:pPr>
        <w:spacing w:before="155" w:line="219" w:lineRule="auto"/>
        <w:ind w:left="460"/>
        <w:rPr>
          <w:rFonts w:ascii="宋体" w:hAnsi="宋体" w:eastAsia="宋体" w:cs="宋体"/>
          <w:sz w:val="24"/>
          <w:szCs w:val="24"/>
          <w:highlight w:val="none"/>
        </w:rPr>
      </w:pPr>
      <w:r>
        <w:rPr>
          <w:rFonts w:ascii="宋体" w:hAnsi="宋体" w:eastAsia="宋体" w:cs="宋体"/>
          <w:spacing w:val="-3"/>
          <w:sz w:val="24"/>
          <w:szCs w:val="24"/>
          <w:highlight w:val="none"/>
        </w:rPr>
        <w:t>（二）商务响应偏离表</w:t>
      </w:r>
    </w:p>
    <w:p w14:paraId="090EFE03">
      <w:pPr>
        <w:spacing w:before="156" w:line="219" w:lineRule="auto"/>
        <w:ind w:left="460"/>
        <w:rPr>
          <w:rFonts w:ascii="宋体" w:hAnsi="宋体" w:eastAsia="宋体" w:cs="宋体"/>
          <w:sz w:val="24"/>
          <w:szCs w:val="24"/>
          <w:highlight w:val="none"/>
        </w:rPr>
      </w:pPr>
      <w:r>
        <w:rPr>
          <w:rFonts w:ascii="宋体" w:hAnsi="宋体" w:eastAsia="宋体" w:cs="宋体"/>
          <w:spacing w:val="-2"/>
          <w:sz w:val="24"/>
          <w:szCs w:val="24"/>
          <w:highlight w:val="none"/>
        </w:rPr>
        <w:t>（三）商务评审需提供的材料（格式自定）</w:t>
      </w:r>
    </w:p>
    <w:p w14:paraId="22AF0A17">
      <w:pPr>
        <w:spacing w:before="154" w:line="279" w:lineRule="auto"/>
        <w:ind w:left="452" w:right="6225" w:firstLine="7"/>
        <w:rPr>
          <w:rFonts w:ascii="宋体" w:hAnsi="宋体" w:eastAsia="宋体" w:cs="宋体"/>
          <w:sz w:val="24"/>
          <w:szCs w:val="24"/>
          <w:highlight w:val="none"/>
        </w:rPr>
      </w:pPr>
      <w:r>
        <w:rPr>
          <w:rFonts w:ascii="宋体" w:hAnsi="宋体" w:eastAsia="宋体" w:cs="宋体"/>
          <w:spacing w:val="-2"/>
          <w:sz w:val="24"/>
          <w:szCs w:val="24"/>
          <w:highlight w:val="none"/>
        </w:rPr>
        <w:t>（四）其它优惠服务承诺</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五、资格条件及其他</w:t>
      </w:r>
    </w:p>
    <w:p w14:paraId="40D31049">
      <w:pPr>
        <w:spacing w:before="122" w:line="219" w:lineRule="auto"/>
        <w:ind w:left="460"/>
        <w:rPr>
          <w:rFonts w:ascii="宋体" w:hAnsi="宋体" w:eastAsia="宋体" w:cs="宋体"/>
          <w:sz w:val="24"/>
          <w:szCs w:val="24"/>
          <w:highlight w:val="none"/>
        </w:rPr>
      </w:pPr>
      <w:r>
        <w:rPr>
          <w:rFonts w:ascii="宋体" w:hAnsi="宋体" w:eastAsia="宋体" w:cs="宋体"/>
          <w:spacing w:val="-1"/>
          <w:sz w:val="24"/>
          <w:szCs w:val="24"/>
          <w:highlight w:val="none"/>
        </w:rPr>
        <w:t>（一）营业执照（副本）或事业单位法人证书（副本）复印件</w:t>
      </w:r>
    </w:p>
    <w:p w14:paraId="3E6E2443">
      <w:pPr>
        <w:spacing w:before="116" w:line="219" w:lineRule="auto"/>
        <w:ind w:left="460"/>
        <w:rPr>
          <w:rFonts w:ascii="宋体" w:hAnsi="宋体" w:eastAsia="宋体" w:cs="宋体"/>
          <w:sz w:val="24"/>
          <w:szCs w:val="24"/>
          <w:highlight w:val="none"/>
        </w:rPr>
      </w:pPr>
      <w:r>
        <w:rPr>
          <w:rFonts w:ascii="宋体" w:hAnsi="宋体" w:eastAsia="宋体" w:cs="宋体"/>
          <w:spacing w:val="-2"/>
          <w:sz w:val="24"/>
          <w:szCs w:val="24"/>
          <w:highlight w:val="none"/>
        </w:rPr>
        <w:t>（二）法定代表人身份证明书（格式）</w:t>
      </w:r>
    </w:p>
    <w:p w14:paraId="159E24C1">
      <w:pPr>
        <w:spacing w:before="116" w:line="219" w:lineRule="auto"/>
        <w:ind w:left="460"/>
        <w:rPr>
          <w:rFonts w:ascii="宋体" w:hAnsi="宋体" w:eastAsia="宋体" w:cs="宋体"/>
          <w:sz w:val="24"/>
          <w:szCs w:val="24"/>
          <w:highlight w:val="none"/>
        </w:rPr>
      </w:pPr>
      <w:r>
        <w:rPr>
          <w:rFonts w:ascii="宋体" w:hAnsi="宋体" w:eastAsia="宋体" w:cs="宋体"/>
          <w:spacing w:val="-2"/>
          <w:sz w:val="24"/>
          <w:szCs w:val="24"/>
          <w:highlight w:val="none"/>
        </w:rPr>
        <w:t>（三）法定代表人授权委托书（格式）</w:t>
      </w:r>
    </w:p>
    <w:p w14:paraId="381C583A">
      <w:pPr>
        <w:spacing w:before="114" w:line="219" w:lineRule="auto"/>
        <w:ind w:left="460"/>
        <w:rPr>
          <w:rFonts w:ascii="宋体" w:hAnsi="宋体" w:eastAsia="宋体" w:cs="宋体"/>
          <w:sz w:val="24"/>
          <w:szCs w:val="24"/>
          <w:highlight w:val="none"/>
        </w:rPr>
      </w:pPr>
      <w:r>
        <w:rPr>
          <w:rFonts w:ascii="宋体" w:hAnsi="宋体" w:eastAsia="宋体" w:cs="宋体"/>
          <w:spacing w:val="-2"/>
          <w:sz w:val="24"/>
          <w:szCs w:val="24"/>
          <w:highlight w:val="none"/>
        </w:rPr>
        <w:t>（四）基本资格条件承诺函</w:t>
      </w:r>
    </w:p>
    <w:p w14:paraId="4A4154F6">
      <w:pPr>
        <w:spacing w:before="117" w:line="276" w:lineRule="auto"/>
        <w:ind w:left="450" w:right="4806" w:firstLine="9"/>
        <w:rPr>
          <w:rFonts w:ascii="宋体" w:hAnsi="宋体" w:eastAsia="宋体" w:cs="宋体"/>
          <w:sz w:val="24"/>
          <w:szCs w:val="24"/>
          <w:highlight w:val="none"/>
        </w:rPr>
      </w:pPr>
      <w:r>
        <w:rPr>
          <w:rFonts w:ascii="宋体" w:hAnsi="宋体" w:eastAsia="宋体" w:cs="宋体"/>
          <w:spacing w:val="-3"/>
          <w:sz w:val="24"/>
          <w:szCs w:val="24"/>
          <w:highlight w:val="none"/>
        </w:rPr>
        <w:t>（五）特定资格条件证明文件（若有）</w:t>
      </w:r>
      <w:r>
        <w:rPr>
          <w:rFonts w:ascii="宋体" w:hAnsi="宋体" w:eastAsia="宋体" w:cs="宋体"/>
          <w:spacing w:val="8"/>
          <w:sz w:val="24"/>
          <w:szCs w:val="24"/>
          <w:highlight w:val="none"/>
        </w:rPr>
        <w:t xml:space="preserve"> </w:t>
      </w:r>
      <w:r>
        <w:rPr>
          <w:rFonts w:ascii="宋体" w:hAnsi="宋体" w:eastAsia="宋体" w:cs="宋体"/>
          <w:spacing w:val="-2"/>
          <w:sz w:val="24"/>
          <w:szCs w:val="24"/>
          <w:highlight w:val="none"/>
        </w:rPr>
        <w:t>六、其他资料</w:t>
      </w:r>
    </w:p>
    <w:p w14:paraId="71E05224">
      <w:pPr>
        <w:spacing w:before="153" w:line="220" w:lineRule="auto"/>
        <w:ind w:left="449"/>
        <w:rPr>
          <w:rFonts w:ascii="宋体" w:hAnsi="宋体" w:eastAsia="宋体" w:cs="宋体"/>
          <w:sz w:val="24"/>
          <w:szCs w:val="24"/>
          <w:highlight w:val="none"/>
        </w:rPr>
      </w:pPr>
      <w:r>
        <w:rPr>
          <w:rFonts w:ascii="宋体" w:hAnsi="宋体" w:eastAsia="宋体" w:cs="宋体"/>
          <w:spacing w:val="-2"/>
          <w:sz w:val="24"/>
          <w:szCs w:val="24"/>
          <w:highlight w:val="none"/>
        </w:rPr>
        <w:t>其他与项目有关的资料</w:t>
      </w:r>
    </w:p>
    <w:p w14:paraId="0D03E223">
      <w:pPr>
        <w:spacing w:line="220" w:lineRule="auto"/>
        <w:rPr>
          <w:rFonts w:ascii="宋体" w:hAnsi="宋体" w:eastAsia="宋体" w:cs="宋体"/>
          <w:sz w:val="24"/>
          <w:szCs w:val="24"/>
          <w:highlight w:val="none"/>
        </w:rPr>
        <w:sectPr>
          <w:footerReference r:id="rId22" w:type="default"/>
          <w:pgSz w:w="11907" w:h="16840"/>
          <w:pgMar w:top="820" w:right="1258" w:bottom="1200" w:left="1343" w:header="0" w:footer="996" w:gutter="0"/>
          <w:cols w:space="720" w:num="1"/>
        </w:sectPr>
      </w:pPr>
    </w:p>
    <w:p w14:paraId="01A823E3">
      <w:pPr>
        <w:spacing w:before="42" w:line="229" w:lineRule="auto"/>
        <w:jc w:val="right"/>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6108BE64">
      <w:pPr>
        <w:spacing w:before="201" w:line="219" w:lineRule="auto"/>
        <w:outlineLvl w:val="1"/>
        <w:rPr>
          <w:rFonts w:ascii="宋体" w:hAnsi="宋体" w:eastAsia="宋体" w:cs="宋体"/>
          <w:sz w:val="24"/>
          <w:szCs w:val="24"/>
          <w:highlight w:val="none"/>
        </w:rPr>
      </w:pPr>
      <w:r>
        <w:rPr>
          <w:rFonts w:ascii="宋体" w:hAnsi="宋体" w:eastAsia="宋体" w:cs="宋体"/>
          <w:b/>
          <w:bCs/>
          <w:spacing w:val="-4"/>
          <w:sz w:val="24"/>
          <w:szCs w:val="24"/>
          <w:highlight w:val="none"/>
        </w:rPr>
        <w:t>一、响应文件封面</w:t>
      </w:r>
    </w:p>
    <w:p w14:paraId="71878D57">
      <w:pPr>
        <w:pStyle w:val="2"/>
        <w:spacing w:line="255" w:lineRule="auto"/>
        <w:rPr>
          <w:highlight w:val="none"/>
        </w:rPr>
      </w:pPr>
    </w:p>
    <w:p w14:paraId="7A4D5454">
      <w:pPr>
        <w:pStyle w:val="2"/>
        <w:spacing w:line="255" w:lineRule="auto"/>
        <w:rPr>
          <w:highlight w:val="none"/>
        </w:rPr>
      </w:pPr>
    </w:p>
    <w:p w14:paraId="66397937">
      <w:pPr>
        <w:pStyle w:val="2"/>
        <w:spacing w:line="255" w:lineRule="auto"/>
        <w:rPr>
          <w:highlight w:val="none"/>
        </w:rPr>
      </w:pPr>
    </w:p>
    <w:p w14:paraId="69BB4C6D">
      <w:pPr>
        <w:pStyle w:val="2"/>
        <w:spacing w:line="255" w:lineRule="auto"/>
        <w:rPr>
          <w:highlight w:val="none"/>
        </w:rPr>
      </w:pPr>
    </w:p>
    <w:p w14:paraId="65FF4A22">
      <w:pPr>
        <w:pStyle w:val="2"/>
        <w:spacing w:line="255" w:lineRule="auto"/>
        <w:rPr>
          <w:highlight w:val="none"/>
        </w:rPr>
      </w:pPr>
    </w:p>
    <w:p w14:paraId="6906BC6D">
      <w:pPr>
        <w:pStyle w:val="2"/>
        <w:spacing w:line="255" w:lineRule="auto"/>
        <w:rPr>
          <w:highlight w:val="none"/>
        </w:rPr>
      </w:pPr>
    </w:p>
    <w:p w14:paraId="5BE0BDE4">
      <w:pPr>
        <w:pStyle w:val="2"/>
        <w:spacing w:line="256" w:lineRule="auto"/>
        <w:rPr>
          <w:highlight w:val="none"/>
        </w:rPr>
      </w:pPr>
    </w:p>
    <w:p w14:paraId="06F24F96">
      <w:pPr>
        <w:pStyle w:val="2"/>
        <w:spacing w:line="256" w:lineRule="auto"/>
        <w:rPr>
          <w:highlight w:val="none"/>
        </w:rPr>
      </w:pPr>
    </w:p>
    <w:p w14:paraId="192DF3F6">
      <w:pPr>
        <w:pStyle w:val="2"/>
        <w:spacing w:line="256" w:lineRule="auto"/>
        <w:rPr>
          <w:highlight w:val="none"/>
        </w:rPr>
      </w:pPr>
    </w:p>
    <w:p w14:paraId="0A6A04B6">
      <w:pPr>
        <w:pStyle w:val="2"/>
        <w:spacing w:line="256" w:lineRule="auto"/>
        <w:rPr>
          <w:highlight w:val="none"/>
        </w:rPr>
      </w:pPr>
    </w:p>
    <w:p w14:paraId="6237D127">
      <w:pPr>
        <w:pStyle w:val="2"/>
        <w:spacing w:line="256" w:lineRule="auto"/>
        <w:rPr>
          <w:highlight w:val="none"/>
        </w:rPr>
      </w:pPr>
    </w:p>
    <w:p w14:paraId="33B1C27A">
      <w:pPr>
        <w:spacing w:before="270" w:line="222" w:lineRule="auto"/>
        <w:ind w:left="3081"/>
        <w:rPr>
          <w:rFonts w:ascii="宋体" w:hAnsi="宋体" w:eastAsia="宋体" w:cs="宋体"/>
          <w:sz w:val="83"/>
          <w:szCs w:val="83"/>
          <w:highlight w:val="none"/>
        </w:rPr>
      </w:pPr>
      <w:bookmarkStart w:id="57" w:name="bookmark52"/>
      <w:bookmarkEnd w:id="57"/>
      <w:r>
        <w:rPr>
          <w:rFonts w:ascii="宋体" w:hAnsi="宋体" w:eastAsia="宋体" w:cs="宋体"/>
          <w:b/>
          <w:bCs/>
          <w:spacing w:val="-16"/>
          <w:sz w:val="83"/>
          <w:szCs w:val="83"/>
          <w:highlight w:val="none"/>
        </w:rPr>
        <w:t>响应文件</w:t>
      </w:r>
    </w:p>
    <w:p w14:paraId="1C8C2224">
      <w:pPr>
        <w:pStyle w:val="2"/>
        <w:spacing w:line="258" w:lineRule="auto"/>
        <w:rPr>
          <w:highlight w:val="none"/>
        </w:rPr>
      </w:pPr>
    </w:p>
    <w:p w14:paraId="20007352">
      <w:pPr>
        <w:pStyle w:val="2"/>
        <w:spacing w:line="258" w:lineRule="auto"/>
        <w:rPr>
          <w:highlight w:val="none"/>
        </w:rPr>
      </w:pPr>
    </w:p>
    <w:p w14:paraId="155EEF8C">
      <w:pPr>
        <w:pStyle w:val="2"/>
        <w:spacing w:line="258" w:lineRule="auto"/>
        <w:rPr>
          <w:highlight w:val="none"/>
        </w:rPr>
      </w:pPr>
    </w:p>
    <w:p w14:paraId="127513F6">
      <w:pPr>
        <w:pStyle w:val="2"/>
        <w:spacing w:line="259" w:lineRule="auto"/>
        <w:rPr>
          <w:highlight w:val="none"/>
        </w:rPr>
      </w:pPr>
    </w:p>
    <w:p w14:paraId="0B592F6B">
      <w:pPr>
        <w:pStyle w:val="2"/>
        <w:spacing w:line="259" w:lineRule="auto"/>
        <w:rPr>
          <w:highlight w:val="none"/>
        </w:rPr>
      </w:pPr>
    </w:p>
    <w:p w14:paraId="685F27FE">
      <w:pPr>
        <w:pStyle w:val="2"/>
        <w:spacing w:line="259" w:lineRule="auto"/>
        <w:rPr>
          <w:highlight w:val="none"/>
        </w:rPr>
      </w:pPr>
    </w:p>
    <w:p w14:paraId="6BB6B65D">
      <w:pPr>
        <w:pStyle w:val="2"/>
        <w:spacing w:line="259" w:lineRule="auto"/>
        <w:rPr>
          <w:highlight w:val="none"/>
        </w:rPr>
      </w:pPr>
    </w:p>
    <w:p w14:paraId="37E97D5E">
      <w:pPr>
        <w:pStyle w:val="2"/>
        <w:spacing w:line="259" w:lineRule="auto"/>
        <w:rPr>
          <w:highlight w:val="none"/>
        </w:rPr>
      </w:pPr>
    </w:p>
    <w:p w14:paraId="73D5601A">
      <w:pPr>
        <w:pStyle w:val="2"/>
        <w:spacing w:line="259" w:lineRule="auto"/>
        <w:rPr>
          <w:highlight w:val="none"/>
        </w:rPr>
      </w:pPr>
    </w:p>
    <w:p w14:paraId="65EEF524">
      <w:pPr>
        <w:spacing w:before="97" w:line="346" w:lineRule="auto"/>
        <w:ind w:left="1051" w:right="1212" w:hanging="28"/>
        <w:rPr>
          <w:rFonts w:ascii="宋体" w:hAnsi="宋体" w:eastAsia="宋体" w:cs="宋体"/>
          <w:sz w:val="30"/>
          <w:szCs w:val="30"/>
          <w:highlight w:val="none"/>
        </w:rPr>
      </w:pPr>
      <w:r>
        <w:rPr>
          <w:rFonts w:ascii="宋体" w:hAnsi="宋体" w:eastAsia="宋体" w:cs="宋体"/>
          <w:b/>
          <w:bCs/>
          <w:spacing w:val="-8"/>
          <w:sz w:val="30"/>
          <w:szCs w:val="30"/>
          <w:highlight w:val="none"/>
        </w:rPr>
        <w:t>项目名称：</w:t>
      </w:r>
      <w:r>
        <w:rPr>
          <w:rFonts w:ascii="宋体" w:hAnsi="宋体" w:eastAsia="宋体" w:cs="宋体"/>
          <w:spacing w:val="4"/>
          <w:sz w:val="30"/>
          <w:szCs w:val="30"/>
          <w:highlight w:val="none"/>
          <w:u w:val="single" w:color="auto"/>
        </w:rPr>
        <w:t xml:space="preserve">                             </w:t>
      </w:r>
      <w:r>
        <w:rPr>
          <w:rFonts w:ascii="宋体" w:hAnsi="宋体" w:eastAsia="宋体" w:cs="宋体"/>
          <w:spacing w:val="3"/>
          <w:sz w:val="30"/>
          <w:szCs w:val="30"/>
          <w:highlight w:val="none"/>
          <w:u w:val="single" w:color="auto"/>
        </w:rPr>
        <w:t xml:space="preserve">       </w:t>
      </w:r>
      <w:r>
        <w:rPr>
          <w:rFonts w:ascii="宋体" w:hAnsi="宋体" w:eastAsia="宋体" w:cs="宋体"/>
          <w:spacing w:val="1"/>
          <w:sz w:val="30"/>
          <w:szCs w:val="30"/>
          <w:highlight w:val="none"/>
        </w:rPr>
        <w:t xml:space="preserve"> </w:t>
      </w:r>
      <w:r>
        <w:rPr>
          <w:rFonts w:ascii="宋体" w:hAnsi="宋体" w:eastAsia="宋体" w:cs="宋体"/>
          <w:b/>
          <w:bCs/>
          <w:spacing w:val="-6"/>
          <w:sz w:val="30"/>
          <w:szCs w:val="30"/>
          <w:highlight w:val="none"/>
        </w:rPr>
        <w:t>包号：</w:t>
      </w:r>
      <w:r>
        <w:rPr>
          <w:rFonts w:ascii="宋体" w:hAnsi="宋体" w:eastAsia="宋体" w:cs="宋体"/>
          <w:sz w:val="30"/>
          <w:szCs w:val="30"/>
          <w:highlight w:val="none"/>
          <w:u w:val="single" w:color="auto"/>
        </w:rPr>
        <w:t xml:space="preserve">                                          </w:t>
      </w:r>
    </w:p>
    <w:p w14:paraId="673DE69F">
      <w:pPr>
        <w:pStyle w:val="2"/>
        <w:spacing w:line="260" w:lineRule="auto"/>
        <w:rPr>
          <w:highlight w:val="none"/>
        </w:rPr>
      </w:pPr>
    </w:p>
    <w:p w14:paraId="14EA14FE">
      <w:pPr>
        <w:pStyle w:val="2"/>
        <w:spacing w:line="260" w:lineRule="auto"/>
        <w:rPr>
          <w:highlight w:val="none"/>
        </w:rPr>
      </w:pPr>
    </w:p>
    <w:p w14:paraId="6857AF16">
      <w:pPr>
        <w:pStyle w:val="2"/>
        <w:spacing w:line="260" w:lineRule="auto"/>
        <w:rPr>
          <w:highlight w:val="none"/>
        </w:rPr>
      </w:pPr>
    </w:p>
    <w:p w14:paraId="41F11310">
      <w:pPr>
        <w:pStyle w:val="2"/>
        <w:spacing w:line="260" w:lineRule="auto"/>
        <w:rPr>
          <w:highlight w:val="none"/>
        </w:rPr>
      </w:pPr>
    </w:p>
    <w:p w14:paraId="7D79914B">
      <w:pPr>
        <w:pStyle w:val="2"/>
        <w:spacing w:line="260" w:lineRule="auto"/>
        <w:rPr>
          <w:highlight w:val="none"/>
        </w:rPr>
      </w:pPr>
    </w:p>
    <w:p w14:paraId="26F25528">
      <w:pPr>
        <w:pStyle w:val="2"/>
        <w:spacing w:line="260" w:lineRule="auto"/>
        <w:rPr>
          <w:highlight w:val="none"/>
        </w:rPr>
      </w:pPr>
    </w:p>
    <w:p w14:paraId="504977C3">
      <w:pPr>
        <w:pStyle w:val="2"/>
        <w:spacing w:line="260" w:lineRule="auto"/>
        <w:rPr>
          <w:highlight w:val="none"/>
        </w:rPr>
      </w:pPr>
    </w:p>
    <w:p w14:paraId="0739894F">
      <w:pPr>
        <w:pStyle w:val="2"/>
        <w:spacing w:line="260" w:lineRule="auto"/>
        <w:rPr>
          <w:highlight w:val="none"/>
        </w:rPr>
      </w:pPr>
    </w:p>
    <w:p w14:paraId="3DBC8792">
      <w:pPr>
        <w:pStyle w:val="2"/>
        <w:spacing w:line="260" w:lineRule="auto"/>
        <w:rPr>
          <w:highlight w:val="none"/>
        </w:rPr>
      </w:pPr>
    </w:p>
    <w:p w14:paraId="448EEBA8">
      <w:pPr>
        <w:pStyle w:val="2"/>
        <w:spacing w:line="260" w:lineRule="auto"/>
        <w:rPr>
          <w:highlight w:val="none"/>
        </w:rPr>
      </w:pPr>
    </w:p>
    <w:p w14:paraId="3B69A98C">
      <w:pPr>
        <w:spacing w:before="97" w:line="219" w:lineRule="auto"/>
        <w:ind w:left="1335"/>
        <w:rPr>
          <w:rFonts w:ascii="宋体" w:hAnsi="宋体" w:eastAsia="宋体" w:cs="宋体"/>
          <w:sz w:val="30"/>
          <w:szCs w:val="30"/>
          <w:highlight w:val="none"/>
        </w:rPr>
      </w:pPr>
      <w:r>
        <w:rPr>
          <w:rFonts w:ascii="宋体" w:hAnsi="宋体" w:eastAsia="宋体" w:cs="宋体"/>
          <w:b/>
          <w:bCs/>
          <w:spacing w:val="1"/>
          <w:sz w:val="30"/>
          <w:szCs w:val="30"/>
          <w:highlight w:val="none"/>
        </w:rPr>
        <w:t>供应商</w:t>
      </w:r>
      <w:r>
        <w:rPr>
          <w:rFonts w:ascii="宋体" w:hAnsi="宋体" w:eastAsia="宋体" w:cs="宋体"/>
          <w:b/>
          <w:bCs/>
          <w:spacing w:val="-25"/>
          <w:sz w:val="30"/>
          <w:szCs w:val="30"/>
          <w:highlight w:val="none"/>
        </w:rPr>
        <w:t>：</w:t>
      </w:r>
      <w:r>
        <w:rPr>
          <w:rFonts w:ascii="宋体" w:hAnsi="宋体" w:eastAsia="宋体" w:cs="宋体"/>
          <w:spacing w:val="4"/>
          <w:sz w:val="30"/>
          <w:szCs w:val="30"/>
          <w:highlight w:val="none"/>
          <w:u w:val="single" w:color="auto"/>
        </w:rPr>
        <w:t xml:space="preserve">                           </w:t>
      </w:r>
      <w:r>
        <w:rPr>
          <w:rFonts w:ascii="宋体" w:hAnsi="宋体" w:eastAsia="宋体" w:cs="宋体"/>
          <w:b/>
          <w:bCs/>
          <w:spacing w:val="-25"/>
          <w:sz w:val="30"/>
          <w:szCs w:val="30"/>
          <w:highlight w:val="none"/>
        </w:rPr>
        <w:t>（</w:t>
      </w:r>
      <w:r>
        <w:rPr>
          <w:rFonts w:ascii="宋体" w:hAnsi="宋体" w:eastAsia="宋体" w:cs="宋体"/>
          <w:b/>
          <w:bCs/>
          <w:spacing w:val="1"/>
          <w:sz w:val="30"/>
          <w:szCs w:val="30"/>
          <w:highlight w:val="none"/>
        </w:rPr>
        <w:t>公章）</w:t>
      </w:r>
    </w:p>
    <w:p w14:paraId="0423C3B5">
      <w:pPr>
        <w:tabs>
          <w:tab w:val="left" w:pos="4168"/>
        </w:tabs>
        <w:spacing w:before="229" w:line="346" w:lineRule="auto"/>
        <w:ind w:left="3125" w:right="1462" w:hanging="1789"/>
        <w:rPr>
          <w:rFonts w:ascii="宋体" w:hAnsi="宋体" w:eastAsia="宋体" w:cs="宋体"/>
          <w:sz w:val="30"/>
          <w:szCs w:val="30"/>
          <w:highlight w:val="none"/>
        </w:rPr>
      </w:pPr>
      <w:r>
        <w:rPr>
          <w:rFonts w:ascii="宋体" w:hAnsi="宋体" w:eastAsia="宋体" w:cs="宋体"/>
          <w:b/>
          <w:bCs/>
          <w:spacing w:val="-4"/>
          <w:sz w:val="30"/>
          <w:szCs w:val="30"/>
          <w:highlight w:val="none"/>
        </w:rPr>
        <w:t>法定代表人或其授权代表</w:t>
      </w:r>
      <w:r>
        <w:rPr>
          <w:rFonts w:ascii="宋体" w:hAnsi="宋体" w:eastAsia="宋体" w:cs="宋体"/>
          <w:b/>
          <w:bCs/>
          <w:spacing w:val="-27"/>
          <w:sz w:val="30"/>
          <w:szCs w:val="30"/>
          <w:highlight w:val="none"/>
        </w:rPr>
        <w:t>：</w:t>
      </w:r>
      <w:r>
        <w:rPr>
          <w:rFonts w:ascii="宋体" w:hAnsi="宋体" w:eastAsia="宋体" w:cs="宋体"/>
          <w:spacing w:val="12"/>
          <w:sz w:val="30"/>
          <w:szCs w:val="30"/>
          <w:highlight w:val="none"/>
          <w:u w:val="single" w:color="auto"/>
        </w:rPr>
        <w:t xml:space="preserve">           </w:t>
      </w:r>
      <w:r>
        <w:rPr>
          <w:rFonts w:ascii="宋体" w:hAnsi="宋体" w:eastAsia="宋体" w:cs="宋体"/>
          <w:b/>
          <w:bCs/>
          <w:spacing w:val="-27"/>
          <w:sz w:val="30"/>
          <w:szCs w:val="30"/>
          <w:highlight w:val="none"/>
        </w:rPr>
        <w:t>（</w:t>
      </w:r>
      <w:r>
        <w:rPr>
          <w:rFonts w:ascii="宋体" w:hAnsi="宋体" w:eastAsia="宋体" w:cs="宋体"/>
          <w:b/>
          <w:bCs/>
          <w:spacing w:val="-4"/>
          <w:sz w:val="30"/>
          <w:szCs w:val="30"/>
          <w:highlight w:val="none"/>
        </w:rPr>
        <w:t>签字）</w:t>
      </w:r>
      <w:r>
        <w:rPr>
          <w:rFonts w:ascii="宋体" w:hAnsi="宋体" w:eastAsia="宋体" w:cs="宋体"/>
          <w:spacing w:val="10"/>
          <w:sz w:val="30"/>
          <w:szCs w:val="30"/>
          <w:highlight w:val="none"/>
        </w:rPr>
        <w:t xml:space="preserve"> </w:t>
      </w:r>
      <w:r>
        <w:rPr>
          <w:rFonts w:ascii="宋体" w:hAnsi="宋体" w:eastAsia="宋体" w:cs="宋体"/>
          <w:sz w:val="30"/>
          <w:szCs w:val="30"/>
          <w:highlight w:val="none"/>
          <w:u w:val="single" w:color="auto"/>
        </w:rPr>
        <w:tab/>
      </w:r>
      <w:r>
        <w:rPr>
          <w:rFonts w:ascii="宋体" w:hAnsi="宋体" w:eastAsia="宋体" w:cs="宋体"/>
          <w:spacing w:val="-137"/>
          <w:sz w:val="30"/>
          <w:szCs w:val="30"/>
          <w:highlight w:val="none"/>
        </w:rPr>
        <w:t xml:space="preserve"> </w:t>
      </w:r>
      <w:r>
        <w:rPr>
          <w:rFonts w:ascii="宋体" w:hAnsi="宋体" w:eastAsia="宋体" w:cs="宋体"/>
          <w:b/>
          <w:bCs/>
          <w:spacing w:val="-14"/>
          <w:sz w:val="30"/>
          <w:szCs w:val="30"/>
          <w:highlight w:val="none"/>
        </w:rPr>
        <w:t>年</w:t>
      </w:r>
      <w:r>
        <w:rPr>
          <w:rFonts w:ascii="宋体" w:hAnsi="宋体" w:eastAsia="宋体" w:cs="宋体"/>
          <w:spacing w:val="48"/>
          <w:sz w:val="30"/>
          <w:szCs w:val="30"/>
          <w:highlight w:val="none"/>
          <w:u w:val="single" w:color="auto"/>
        </w:rPr>
        <w:t xml:space="preserve">   </w:t>
      </w:r>
      <w:r>
        <w:rPr>
          <w:rFonts w:ascii="宋体" w:hAnsi="宋体" w:eastAsia="宋体" w:cs="宋体"/>
          <w:spacing w:val="-130"/>
          <w:sz w:val="30"/>
          <w:szCs w:val="30"/>
          <w:highlight w:val="none"/>
        </w:rPr>
        <w:t xml:space="preserve"> </w:t>
      </w:r>
      <w:r>
        <w:rPr>
          <w:rFonts w:ascii="宋体" w:hAnsi="宋体" w:eastAsia="宋体" w:cs="宋体"/>
          <w:b/>
          <w:bCs/>
          <w:spacing w:val="-14"/>
          <w:sz w:val="30"/>
          <w:szCs w:val="30"/>
          <w:highlight w:val="none"/>
        </w:rPr>
        <w:t>月</w:t>
      </w:r>
      <w:r>
        <w:rPr>
          <w:rFonts w:ascii="宋体" w:hAnsi="宋体" w:eastAsia="宋体" w:cs="宋体"/>
          <w:spacing w:val="48"/>
          <w:sz w:val="30"/>
          <w:szCs w:val="30"/>
          <w:highlight w:val="none"/>
          <w:u w:val="single" w:color="auto"/>
        </w:rPr>
        <w:t xml:space="preserve">   </w:t>
      </w:r>
      <w:r>
        <w:rPr>
          <w:rFonts w:ascii="宋体" w:hAnsi="宋体" w:eastAsia="宋体" w:cs="宋体"/>
          <w:spacing w:val="-85"/>
          <w:sz w:val="30"/>
          <w:szCs w:val="30"/>
          <w:highlight w:val="none"/>
        </w:rPr>
        <w:t xml:space="preserve"> </w:t>
      </w:r>
      <w:r>
        <w:rPr>
          <w:rFonts w:ascii="宋体" w:hAnsi="宋体" w:eastAsia="宋体" w:cs="宋体"/>
          <w:b/>
          <w:bCs/>
          <w:spacing w:val="-14"/>
          <w:sz w:val="30"/>
          <w:szCs w:val="30"/>
          <w:highlight w:val="none"/>
        </w:rPr>
        <w:t>日</w:t>
      </w:r>
    </w:p>
    <w:p w14:paraId="469A144F">
      <w:pPr>
        <w:spacing w:line="346" w:lineRule="auto"/>
        <w:rPr>
          <w:rFonts w:ascii="宋体" w:hAnsi="宋体" w:eastAsia="宋体" w:cs="宋体"/>
          <w:sz w:val="30"/>
          <w:szCs w:val="30"/>
          <w:highlight w:val="none"/>
        </w:rPr>
        <w:sectPr>
          <w:footerReference r:id="rId23" w:type="default"/>
          <w:pgSz w:w="11907" w:h="16840"/>
          <w:pgMar w:top="820" w:right="1258" w:bottom="1201" w:left="1316" w:header="0" w:footer="996" w:gutter="0"/>
          <w:cols w:space="720" w:num="1"/>
        </w:sectPr>
      </w:pPr>
    </w:p>
    <w:p w14:paraId="44CA7595">
      <w:pPr>
        <w:spacing w:before="42" w:line="229" w:lineRule="auto"/>
        <w:ind w:left="40"/>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 xml:space="preserve"> </w:t>
      </w:r>
    </w:p>
    <w:p w14:paraId="6D3C54A1">
      <w:pPr>
        <w:spacing w:before="59" w:line="219" w:lineRule="auto"/>
        <w:ind w:left="493"/>
        <w:outlineLvl w:val="1"/>
        <w:rPr>
          <w:rFonts w:ascii="宋体" w:hAnsi="宋体" w:eastAsia="宋体" w:cs="宋体"/>
          <w:sz w:val="24"/>
          <w:szCs w:val="24"/>
          <w:highlight w:val="none"/>
        </w:rPr>
      </w:pPr>
      <w:bookmarkStart w:id="58" w:name="bookmark54"/>
      <w:bookmarkEnd w:id="58"/>
      <w:r>
        <w:rPr>
          <w:rFonts w:ascii="宋体" w:hAnsi="宋体" w:eastAsia="宋体" w:cs="宋体"/>
          <w:b/>
          <w:bCs/>
          <w:spacing w:val="-4"/>
          <w:sz w:val="24"/>
          <w:szCs w:val="24"/>
          <w:highlight w:val="none"/>
        </w:rPr>
        <w:t>二、经济部分</w:t>
      </w:r>
    </w:p>
    <w:p w14:paraId="5D250217">
      <w:pPr>
        <w:spacing w:before="180" w:line="218"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（一）竞争性比选报价函</w:t>
      </w:r>
    </w:p>
    <w:p w14:paraId="56A8FB0D">
      <w:pPr>
        <w:spacing w:before="122" w:line="218" w:lineRule="auto"/>
        <w:ind w:left="3754"/>
        <w:rPr>
          <w:rFonts w:ascii="宋体" w:hAnsi="宋体" w:eastAsia="宋体" w:cs="宋体"/>
          <w:sz w:val="24"/>
          <w:szCs w:val="24"/>
          <w:highlight w:val="none"/>
        </w:rPr>
      </w:pPr>
      <w:r>
        <w:rPr>
          <w:rFonts w:ascii="宋体" w:hAnsi="宋体" w:eastAsia="宋体" w:cs="宋体"/>
          <w:b/>
          <w:bCs/>
          <w:spacing w:val="-4"/>
          <w:sz w:val="24"/>
          <w:szCs w:val="24"/>
          <w:highlight w:val="none"/>
        </w:rPr>
        <w:t>竞争性比选报价函</w:t>
      </w:r>
    </w:p>
    <w:p w14:paraId="0FE537B8">
      <w:pPr>
        <w:tabs>
          <w:tab w:val="left" w:pos="136"/>
        </w:tabs>
        <w:spacing w:before="25" w:line="219"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23"/>
          <w:sz w:val="24"/>
          <w:szCs w:val="24"/>
          <w:highlight w:val="none"/>
          <w:u w:val="single" w:color="auto"/>
        </w:rPr>
        <w:t>（采购人名称</w:t>
      </w:r>
      <w:r>
        <w:rPr>
          <w:rFonts w:ascii="宋体" w:hAnsi="宋体" w:eastAsia="宋体" w:cs="宋体"/>
          <w:sz w:val="24"/>
          <w:szCs w:val="24"/>
          <w:highlight w:val="none"/>
          <w:u w:val="single" w:color="auto"/>
        </w:rPr>
        <w:t>）</w:t>
      </w:r>
      <w:r>
        <w:rPr>
          <w:rFonts w:ascii="宋体" w:hAnsi="宋体" w:eastAsia="宋体" w:cs="宋体"/>
          <w:sz w:val="24"/>
          <w:szCs w:val="24"/>
          <w:highlight w:val="none"/>
        </w:rPr>
        <w:t>：</w:t>
      </w:r>
    </w:p>
    <w:p w14:paraId="339603B2">
      <w:pPr>
        <w:spacing w:before="122" w:line="219" w:lineRule="auto"/>
        <w:ind w:left="491"/>
        <w:rPr>
          <w:rFonts w:ascii="宋体" w:hAnsi="宋体" w:eastAsia="宋体" w:cs="宋体"/>
          <w:sz w:val="24"/>
          <w:szCs w:val="24"/>
          <w:highlight w:val="none"/>
        </w:rPr>
      </w:pPr>
      <w:r>
        <w:rPr>
          <w:rFonts w:ascii="宋体" w:hAnsi="宋体" w:eastAsia="宋体" w:cs="宋体"/>
          <w:sz w:val="24"/>
          <w:szCs w:val="24"/>
          <w:highlight w:val="none"/>
        </w:rPr>
        <w:t>我方收到</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（项目名称）</w:t>
      </w:r>
      <w:r>
        <w:rPr>
          <w:rFonts w:ascii="宋体" w:hAnsi="宋体" w:eastAsia="宋体" w:cs="宋体"/>
          <w:spacing w:val="-1"/>
          <w:sz w:val="24"/>
          <w:szCs w:val="24"/>
          <w:highlight w:val="none"/>
        </w:rPr>
        <w:t>的竞争性比选文件，经详细研</w:t>
      </w:r>
    </w:p>
    <w:p w14:paraId="3C808C37">
      <w:pPr>
        <w:spacing w:before="120" w:line="219" w:lineRule="auto"/>
        <w:ind w:left="20"/>
        <w:rPr>
          <w:rFonts w:ascii="宋体" w:hAnsi="宋体" w:eastAsia="宋体" w:cs="宋体"/>
          <w:sz w:val="24"/>
          <w:szCs w:val="24"/>
          <w:highlight w:val="none"/>
        </w:rPr>
      </w:pPr>
      <w:r>
        <w:rPr>
          <w:rFonts w:ascii="宋体" w:hAnsi="宋体" w:eastAsia="宋体" w:cs="宋体"/>
          <w:spacing w:val="-3"/>
          <w:sz w:val="24"/>
          <w:szCs w:val="24"/>
          <w:highlight w:val="none"/>
        </w:rPr>
        <w:t>究，决定参加该项目包号</w:t>
      </w:r>
      <w:r>
        <w:rPr>
          <w:rFonts w:ascii="宋体" w:hAnsi="宋体" w:eastAsia="宋体" w:cs="宋体"/>
          <w:spacing w:val="-3"/>
          <w:sz w:val="24"/>
          <w:szCs w:val="24"/>
          <w:highlight w:val="none"/>
          <w:u w:val="single" w:color="auto"/>
        </w:rPr>
        <w:t xml:space="preserve">     </w:t>
      </w:r>
      <w:r>
        <w:rPr>
          <w:rFonts w:ascii="宋体" w:hAnsi="宋体" w:eastAsia="宋体" w:cs="宋体"/>
          <w:spacing w:val="-82"/>
          <w:sz w:val="24"/>
          <w:szCs w:val="24"/>
          <w:highlight w:val="none"/>
        </w:rPr>
        <w:t xml:space="preserve"> </w:t>
      </w:r>
      <w:r>
        <w:rPr>
          <w:rFonts w:ascii="宋体" w:hAnsi="宋体" w:eastAsia="宋体" w:cs="宋体"/>
          <w:spacing w:val="-3"/>
          <w:sz w:val="24"/>
          <w:szCs w:val="24"/>
          <w:highlight w:val="none"/>
        </w:rPr>
        <w:t>的投标。</w:t>
      </w:r>
    </w:p>
    <w:p w14:paraId="55408AD8">
      <w:pPr>
        <w:spacing w:before="120" w:line="265" w:lineRule="auto"/>
        <w:ind w:left="55" w:firstLine="451"/>
        <w:rPr>
          <w:rFonts w:ascii="宋体" w:hAnsi="宋体" w:eastAsia="宋体" w:cs="宋体"/>
          <w:sz w:val="24"/>
          <w:szCs w:val="24"/>
          <w:highlight w:val="none"/>
        </w:rPr>
      </w:pPr>
      <w:r>
        <w:rPr>
          <w:rFonts w:ascii="宋体" w:hAnsi="宋体" w:eastAsia="宋体" w:cs="宋体"/>
          <w:spacing w:val="-3"/>
          <w:sz w:val="24"/>
          <w:szCs w:val="24"/>
          <w:highlight w:val="none"/>
        </w:rPr>
        <w:t>1</w:t>
      </w:r>
      <w:r>
        <w:rPr>
          <w:rFonts w:ascii="宋体" w:hAnsi="宋体" w:eastAsia="宋体" w:cs="宋体"/>
          <w:spacing w:val="-51"/>
          <w:sz w:val="24"/>
          <w:szCs w:val="24"/>
          <w:highlight w:val="none"/>
        </w:rPr>
        <w:t xml:space="preserve"> </w:t>
      </w:r>
      <w:r>
        <w:rPr>
          <w:rFonts w:ascii="宋体" w:hAnsi="宋体" w:eastAsia="宋体" w:cs="宋体"/>
          <w:spacing w:val="-3"/>
          <w:sz w:val="24"/>
          <w:szCs w:val="24"/>
          <w:highlight w:val="none"/>
        </w:rPr>
        <w:t>包</w:t>
      </w:r>
      <w:r>
        <w:rPr>
          <w:rFonts w:hint="eastAsia" w:ascii="宋体" w:hAnsi="宋体" w:eastAsia="宋体" w:cs="宋体"/>
          <w:spacing w:val="-3"/>
          <w:sz w:val="24"/>
          <w:szCs w:val="24"/>
          <w:highlight w:val="none"/>
          <w:lang w:val="en-US" w:eastAsia="zh-CN"/>
        </w:rPr>
        <w:t>二</w:t>
      </w:r>
      <w:r>
        <w:rPr>
          <w:rFonts w:ascii="宋体" w:hAnsi="宋体" w:eastAsia="宋体" w:cs="宋体"/>
          <w:spacing w:val="-5"/>
          <w:sz w:val="24"/>
          <w:szCs w:val="24"/>
          <w:highlight w:val="none"/>
        </w:rPr>
        <w:t>：</w:t>
      </w:r>
      <w:r>
        <w:rPr>
          <w:rFonts w:ascii="宋体" w:hAnsi="宋体" w:eastAsia="宋体" w:cs="宋体"/>
          <w:spacing w:val="-3"/>
          <w:sz w:val="24"/>
          <w:szCs w:val="24"/>
          <w:highlight w:val="none"/>
        </w:rPr>
        <w:t>单个项目总限价在</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0-1.5（含）万元的折</w:t>
      </w:r>
      <w:r>
        <w:rPr>
          <w:rFonts w:ascii="宋体" w:hAnsi="宋体" w:eastAsia="宋体" w:cs="宋体"/>
          <w:spacing w:val="-4"/>
          <w:sz w:val="24"/>
          <w:szCs w:val="24"/>
          <w:highlight w:val="none"/>
        </w:rPr>
        <w:t>扣报价为</w:t>
      </w:r>
      <w:r>
        <w:rPr>
          <w:rFonts w:ascii="宋体" w:hAnsi="宋体" w:eastAsia="宋体" w:cs="宋体"/>
          <w:spacing w:val="-4"/>
          <w:sz w:val="24"/>
          <w:szCs w:val="24"/>
          <w:highlight w:val="none"/>
          <w:u w:val="single" w:color="auto"/>
        </w:rPr>
        <w:t xml:space="preserve">    %</w:t>
      </w:r>
      <w:r>
        <w:rPr>
          <w:rFonts w:ascii="宋体" w:hAnsi="宋体" w:eastAsia="宋体" w:cs="宋体"/>
          <w:spacing w:val="30"/>
          <w:sz w:val="24"/>
          <w:szCs w:val="24"/>
          <w:highlight w:val="none"/>
        </w:rPr>
        <w:t xml:space="preserve"> </w:t>
      </w:r>
      <w:r>
        <w:rPr>
          <w:rFonts w:ascii="宋体" w:hAnsi="宋体" w:eastAsia="宋体" w:cs="宋体"/>
          <w:spacing w:val="-4"/>
          <w:sz w:val="24"/>
          <w:szCs w:val="24"/>
          <w:highlight w:val="none"/>
        </w:rPr>
        <w:t>；单个项</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目总限价在</w:t>
      </w:r>
      <w:r>
        <w:rPr>
          <w:rFonts w:ascii="宋体" w:hAnsi="宋体" w:eastAsia="宋体" w:cs="宋体"/>
          <w:spacing w:val="-16"/>
          <w:sz w:val="24"/>
          <w:szCs w:val="24"/>
          <w:highlight w:val="none"/>
        </w:rPr>
        <w:t xml:space="preserve"> </w:t>
      </w:r>
      <w:r>
        <w:rPr>
          <w:rFonts w:ascii="宋体" w:hAnsi="宋体" w:eastAsia="宋体" w:cs="宋体"/>
          <w:spacing w:val="-4"/>
          <w:sz w:val="24"/>
          <w:szCs w:val="24"/>
          <w:highlight w:val="none"/>
        </w:rPr>
        <w:t>1.5（不含）-3</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万元的折扣报价为</w:t>
      </w:r>
      <w:r>
        <w:rPr>
          <w:rFonts w:ascii="宋体" w:hAnsi="宋体" w:eastAsia="宋体" w:cs="宋体"/>
          <w:spacing w:val="-4"/>
          <w:sz w:val="24"/>
          <w:szCs w:val="24"/>
          <w:highlight w:val="none"/>
          <w:u w:val="single" w:color="auto"/>
        </w:rPr>
        <w:t xml:space="preserve">    % </w:t>
      </w:r>
      <w:r>
        <w:rPr>
          <w:rFonts w:ascii="宋体" w:hAnsi="宋体" w:eastAsia="宋体" w:cs="宋体"/>
          <w:spacing w:val="-4"/>
          <w:sz w:val="24"/>
          <w:szCs w:val="24"/>
          <w:highlight w:val="none"/>
        </w:rPr>
        <w:t>。</w:t>
      </w:r>
    </w:p>
    <w:p w14:paraId="21477084">
      <w:pPr>
        <w:spacing w:before="122" w:line="297" w:lineRule="auto"/>
        <w:ind w:left="493" w:right="452" w:hanging="1"/>
        <w:rPr>
          <w:rFonts w:ascii="宋体" w:hAnsi="宋体" w:eastAsia="宋体" w:cs="宋体"/>
          <w:sz w:val="24"/>
          <w:szCs w:val="24"/>
          <w:highlight w:val="none"/>
        </w:rPr>
      </w:pPr>
      <w:r>
        <w:rPr>
          <w:rFonts w:ascii="宋体" w:hAnsi="宋体" w:eastAsia="宋体" w:cs="宋体"/>
          <w:spacing w:val="-2"/>
          <w:sz w:val="24"/>
          <w:szCs w:val="24"/>
          <w:highlight w:val="none"/>
        </w:rPr>
        <w:t>2.我方现提交的响应文件为：响应文件正本</w:t>
      </w:r>
      <w:r>
        <w:rPr>
          <w:rFonts w:ascii="宋体" w:hAnsi="宋体" w:eastAsia="宋体" w:cs="宋体"/>
          <w:spacing w:val="-2"/>
          <w:sz w:val="24"/>
          <w:szCs w:val="24"/>
          <w:highlight w:val="none"/>
          <w:u w:val="single" w:color="auto"/>
        </w:rPr>
        <w:t xml:space="preserve">   </w:t>
      </w:r>
      <w:r>
        <w:rPr>
          <w:rFonts w:ascii="宋体" w:hAnsi="宋体" w:eastAsia="宋体" w:cs="宋体"/>
          <w:spacing w:val="-111"/>
          <w:sz w:val="24"/>
          <w:szCs w:val="24"/>
          <w:highlight w:val="none"/>
        </w:rPr>
        <w:t xml:space="preserve"> </w:t>
      </w:r>
      <w:r>
        <w:rPr>
          <w:rFonts w:ascii="宋体" w:hAnsi="宋体" w:eastAsia="宋体" w:cs="宋体"/>
          <w:spacing w:val="-2"/>
          <w:sz w:val="24"/>
          <w:szCs w:val="24"/>
          <w:highlight w:val="none"/>
        </w:rPr>
        <w:t>份，副本</w:t>
      </w:r>
      <w:r>
        <w:rPr>
          <w:rFonts w:ascii="宋体" w:hAnsi="宋体" w:eastAsia="宋体" w:cs="宋体"/>
          <w:spacing w:val="-2"/>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pacing w:val="-2"/>
          <w:sz w:val="24"/>
          <w:szCs w:val="24"/>
          <w:highlight w:val="none"/>
        </w:rPr>
        <w:t>份，电子文档</w:t>
      </w:r>
      <w:r>
        <w:rPr>
          <w:rFonts w:ascii="宋体" w:hAnsi="宋体" w:eastAsia="宋体" w:cs="宋体"/>
          <w:spacing w:val="-2"/>
          <w:sz w:val="24"/>
          <w:szCs w:val="24"/>
          <w:highlight w:val="none"/>
          <w:u w:val="single" w:color="auto"/>
        </w:rPr>
        <w:t xml:space="preserve">   </w:t>
      </w:r>
      <w:r>
        <w:rPr>
          <w:rFonts w:ascii="宋体" w:hAnsi="宋体" w:eastAsia="宋体" w:cs="宋体"/>
          <w:spacing w:val="-111"/>
          <w:sz w:val="24"/>
          <w:szCs w:val="24"/>
          <w:highlight w:val="none"/>
        </w:rPr>
        <w:t xml:space="preserve"> </w:t>
      </w:r>
      <w:r>
        <w:rPr>
          <w:rFonts w:ascii="宋体" w:hAnsi="宋体" w:eastAsia="宋体" w:cs="宋体"/>
          <w:spacing w:val="-2"/>
          <w:sz w:val="24"/>
          <w:szCs w:val="24"/>
          <w:highlight w:val="none"/>
        </w:rPr>
        <w:t>份。</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3.我方承诺：</w:t>
      </w:r>
    </w:p>
    <w:p w14:paraId="7FA543F9">
      <w:pPr>
        <w:spacing w:before="37" w:line="219" w:lineRule="auto"/>
        <w:ind w:left="494"/>
        <w:rPr>
          <w:rFonts w:ascii="宋体" w:hAnsi="宋体" w:eastAsia="宋体" w:cs="宋体"/>
          <w:sz w:val="24"/>
          <w:szCs w:val="24"/>
          <w:highlight w:val="none"/>
        </w:rPr>
      </w:pPr>
      <w:r>
        <w:rPr>
          <w:rFonts w:ascii="宋体" w:hAnsi="宋体" w:eastAsia="宋体" w:cs="宋体"/>
          <w:spacing w:val="-2"/>
          <w:sz w:val="24"/>
          <w:szCs w:val="24"/>
          <w:highlight w:val="none"/>
        </w:rPr>
        <w:t>3.1</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本次投标的有效期为提交响应文件截止时间起</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90</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天。</w:t>
      </w:r>
    </w:p>
    <w:p w14:paraId="49F8AE7E">
      <w:pPr>
        <w:spacing w:before="122" w:line="228" w:lineRule="auto"/>
        <w:ind w:left="11" w:right="112" w:firstLine="482"/>
        <w:rPr>
          <w:rFonts w:ascii="宋体" w:hAnsi="宋体" w:eastAsia="宋体" w:cs="宋体"/>
          <w:sz w:val="24"/>
          <w:szCs w:val="24"/>
          <w:highlight w:val="none"/>
        </w:rPr>
      </w:pPr>
      <w:r>
        <w:rPr>
          <w:rFonts w:ascii="宋体" w:hAnsi="宋体" w:eastAsia="宋体" w:cs="宋体"/>
          <w:spacing w:val="-1"/>
          <w:sz w:val="24"/>
          <w:szCs w:val="24"/>
          <w:highlight w:val="none"/>
        </w:rPr>
        <w:t>3.2</w:t>
      </w:r>
      <w:r>
        <w:rPr>
          <w:rFonts w:ascii="宋体" w:hAnsi="宋体" w:eastAsia="宋体" w:cs="宋体"/>
          <w:spacing w:val="-38"/>
          <w:sz w:val="24"/>
          <w:szCs w:val="24"/>
          <w:highlight w:val="none"/>
        </w:rPr>
        <w:t xml:space="preserve"> </w:t>
      </w:r>
      <w:r>
        <w:rPr>
          <w:rFonts w:ascii="宋体" w:hAnsi="宋体" w:eastAsia="宋体" w:cs="宋体"/>
          <w:spacing w:val="-1"/>
          <w:sz w:val="24"/>
          <w:szCs w:val="24"/>
          <w:highlight w:val="none"/>
        </w:rPr>
        <w:t>所提供的标的物达到或优于本项目竞争性比选文件中设备明细技术清单的功能要</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求，且在成交供货时提供所需要的相关证明文件。</w:t>
      </w:r>
    </w:p>
    <w:p w14:paraId="4332AFDA">
      <w:pPr>
        <w:spacing w:before="28" w:line="219" w:lineRule="auto"/>
        <w:ind w:left="488"/>
        <w:rPr>
          <w:rFonts w:ascii="宋体" w:hAnsi="宋体" w:eastAsia="宋体" w:cs="宋体"/>
          <w:sz w:val="24"/>
          <w:szCs w:val="24"/>
          <w:highlight w:val="none"/>
        </w:rPr>
      </w:pPr>
      <w:r>
        <w:rPr>
          <w:rFonts w:ascii="宋体" w:hAnsi="宋体" w:eastAsia="宋体" w:cs="宋体"/>
          <w:sz w:val="24"/>
          <w:szCs w:val="24"/>
          <w:highlight w:val="none"/>
        </w:rPr>
        <w:t>4.我方完全理解和接受贵方竞争性比选文件的一切规</w:t>
      </w:r>
      <w:r>
        <w:rPr>
          <w:rFonts w:ascii="宋体" w:hAnsi="宋体" w:eastAsia="宋体" w:cs="宋体"/>
          <w:spacing w:val="-1"/>
          <w:sz w:val="24"/>
          <w:szCs w:val="24"/>
          <w:highlight w:val="none"/>
        </w:rPr>
        <w:t>定和要求及评审办法。</w:t>
      </w:r>
    </w:p>
    <w:p w14:paraId="412CBFF2">
      <w:pPr>
        <w:spacing w:before="118" w:line="299" w:lineRule="auto"/>
        <w:ind w:left="10" w:right="52" w:firstLine="483"/>
        <w:rPr>
          <w:rFonts w:ascii="宋体" w:hAnsi="宋体" w:eastAsia="宋体" w:cs="宋体"/>
          <w:sz w:val="24"/>
          <w:szCs w:val="24"/>
          <w:highlight w:val="none"/>
        </w:rPr>
      </w:pPr>
      <w:r>
        <w:rPr>
          <w:rFonts w:ascii="宋体" w:hAnsi="宋体" w:eastAsia="宋体" w:cs="宋体"/>
          <w:sz w:val="24"/>
          <w:szCs w:val="24"/>
          <w:highlight w:val="none"/>
        </w:rPr>
        <w:t>5.在整个竞争性比选过程中，我方若有违规行为</w:t>
      </w:r>
      <w:r>
        <w:rPr>
          <w:rFonts w:ascii="宋体" w:hAnsi="宋体" w:eastAsia="宋体" w:cs="宋体"/>
          <w:spacing w:val="-1"/>
          <w:sz w:val="24"/>
          <w:szCs w:val="24"/>
          <w:highlight w:val="none"/>
        </w:rPr>
        <w:t>，接受按照《中华人民共和国招标投</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标法》和《竞争性比选文件》之规定给予惩罚。</w:t>
      </w:r>
    </w:p>
    <w:p w14:paraId="39E2FB89">
      <w:pPr>
        <w:spacing w:before="36" w:line="296" w:lineRule="auto"/>
        <w:ind w:left="10" w:right="92" w:firstLine="480"/>
        <w:rPr>
          <w:rFonts w:ascii="宋体" w:hAnsi="宋体" w:eastAsia="宋体" w:cs="宋体"/>
          <w:sz w:val="24"/>
          <w:szCs w:val="24"/>
          <w:highlight w:val="none"/>
        </w:rPr>
      </w:pPr>
      <w:r>
        <w:rPr>
          <w:rFonts w:ascii="宋体" w:hAnsi="宋体" w:eastAsia="宋体" w:cs="宋体"/>
          <w:spacing w:val="-1"/>
          <w:sz w:val="24"/>
          <w:szCs w:val="24"/>
          <w:highlight w:val="none"/>
        </w:rPr>
        <w:t>6.我方若成为入围供应商，将按照最终评审结果签</w:t>
      </w:r>
      <w:r>
        <w:rPr>
          <w:rFonts w:ascii="宋体" w:hAnsi="宋体" w:eastAsia="宋体" w:cs="宋体"/>
          <w:spacing w:val="-2"/>
          <w:sz w:val="24"/>
          <w:szCs w:val="24"/>
          <w:highlight w:val="none"/>
        </w:rPr>
        <w:t>订合同，并且严格履行合同义务。</w:t>
      </w:r>
      <w:r>
        <w:rPr>
          <w:rFonts w:ascii="宋体" w:hAnsi="宋体" w:eastAsia="宋体" w:cs="宋体"/>
          <w:sz w:val="24"/>
          <w:szCs w:val="24"/>
          <w:highlight w:val="none"/>
        </w:rPr>
        <w:t xml:space="preserve"> 本承诺函将成为合同不可分割的一部分，与</w:t>
      </w:r>
      <w:r>
        <w:rPr>
          <w:rFonts w:ascii="宋体" w:hAnsi="宋体" w:eastAsia="宋体" w:cs="宋体"/>
          <w:spacing w:val="-1"/>
          <w:sz w:val="24"/>
          <w:szCs w:val="24"/>
          <w:highlight w:val="none"/>
        </w:rPr>
        <w:t>合同具有同等的法律效力。</w:t>
      </w:r>
    </w:p>
    <w:p w14:paraId="16A33191">
      <w:pPr>
        <w:spacing w:before="36" w:line="297" w:lineRule="auto"/>
        <w:ind w:left="35" w:right="52" w:firstLine="459"/>
        <w:rPr>
          <w:rFonts w:ascii="宋体" w:hAnsi="宋体" w:eastAsia="宋体" w:cs="宋体"/>
          <w:sz w:val="24"/>
          <w:szCs w:val="24"/>
          <w:highlight w:val="none"/>
        </w:rPr>
      </w:pPr>
      <w:r>
        <w:rPr>
          <w:rFonts w:ascii="宋体" w:hAnsi="宋体" w:eastAsia="宋体" w:cs="宋体"/>
          <w:sz w:val="24"/>
          <w:szCs w:val="24"/>
          <w:highlight w:val="none"/>
        </w:rPr>
        <w:t>7.如果我方成为入围供应商，保证在接到成交</w:t>
      </w:r>
      <w:r>
        <w:rPr>
          <w:rFonts w:ascii="宋体" w:hAnsi="宋体" w:eastAsia="宋体" w:cs="宋体"/>
          <w:spacing w:val="-1"/>
          <w:sz w:val="24"/>
          <w:szCs w:val="24"/>
          <w:highlight w:val="none"/>
        </w:rPr>
        <w:t>通知书后，向采购代理机构缴纳竞争性</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比选文件规定的采购代理服务费。</w:t>
      </w:r>
    </w:p>
    <w:p w14:paraId="60DEBE1D">
      <w:pPr>
        <w:spacing w:before="38" w:line="219" w:lineRule="auto"/>
        <w:ind w:left="490"/>
        <w:rPr>
          <w:rFonts w:ascii="宋体" w:hAnsi="宋体" w:eastAsia="宋体" w:cs="宋体"/>
          <w:sz w:val="24"/>
          <w:szCs w:val="24"/>
          <w:highlight w:val="none"/>
        </w:rPr>
      </w:pPr>
      <w:r>
        <w:rPr>
          <w:rFonts w:ascii="宋体" w:hAnsi="宋体" w:eastAsia="宋体" w:cs="宋体"/>
          <w:sz w:val="24"/>
          <w:szCs w:val="24"/>
          <w:highlight w:val="none"/>
        </w:rPr>
        <w:t>8.我方未为采购项目提供整体设计、规范编制或者项目</w:t>
      </w:r>
      <w:r>
        <w:rPr>
          <w:rFonts w:ascii="宋体" w:hAnsi="宋体" w:eastAsia="宋体" w:cs="宋体"/>
          <w:spacing w:val="-1"/>
          <w:sz w:val="24"/>
          <w:szCs w:val="24"/>
          <w:highlight w:val="none"/>
        </w:rPr>
        <w:t>管理、监理、检测等服务。</w:t>
      </w:r>
    </w:p>
    <w:p w14:paraId="01A24CD6">
      <w:pPr>
        <w:spacing w:before="120" w:line="303" w:lineRule="auto"/>
        <w:ind w:left="580" w:right="6981"/>
        <w:rPr>
          <w:rFonts w:ascii="宋体" w:hAnsi="宋体" w:eastAsia="宋体" w:cs="宋体"/>
          <w:sz w:val="24"/>
          <w:szCs w:val="24"/>
          <w:highlight w:val="none"/>
        </w:rPr>
      </w:pPr>
      <w:r>
        <w:rPr>
          <w:rFonts w:ascii="宋体" w:hAnsi="宋体" w:eastAsia="宋体" w:cs="宋体"/>
          <w:spacing w:val="-2"/>
          <w:sz w:val="24"/>
          <w:szCs w:val="24"/>
          <w:highlight w:val="none"/>
        </w:rPr>
        <w:t>供应商（公章</w:t>
      </w:r>
      <w:r>
        <w:rPr>
          <w:rFonts w:ascii="宋体" w:hAnsi="宋体" w:eastAsia="宋体" w:cs="宋体"/>
          <w:spacing w:val="-30"/>
          <w:sz w:val="24"/>
          <w:szCs w:val="24"/>
          <w:highlight w:val="none"/>
        </w:rPr>
        <w:t>）：</w:t>
      </w:r>
      <w:r>
        <w:rPr>
          <w:rFonts w:ascii="宋体" w:hAnsi="宋体" w:eastAsia="宋体" w:cs="宋体"/>
          <w:spacing w:val="1"/>
          <w:sz w:val="24"/>
          <w:szCs w:val="24"/>
          <w:highlight w:val="none"/>
        </w:rPr>
        <w:t xml:space="preserve"> </w:t>
      </w:r>
      <w:r>
        <w:rPr>
          <w:rFonts w:ascii="宋体" w:hAnsi="宋体" w:eastAsia="宋体" w:cs="宋体"/>
          <w:spacing w:val="-4"/>
          <w:sz w:val="24"/>
          <w:szCs w:val="24"/>
          <w:highlight w:val="none"/>
        </w:rPr>
        <w:t>地址：</w:t>
      </w:r>
    </w:p>
    <w:p w14:paraId="7D747046">
      <w:pPr>
        <w:spacing w:before="23" w:line="221" w:lineRule="auto"/>
        <w:ind w:left="581"/>
        <w:rPr>
          <w:rFonts w:ascii="宋体" w:hAnsi="宋体" w:eastAsia="宋体" w:cs="宋体"/>
          <w:sz w:val="24"/>
          <w:szCs w:val="24"/>
          <w:highlight w:val="none"/>
        </w:rPr>
      </w:pPr>
      <w:r>
        <w:rPr>
          <w:rFonts w:ascii="宋体" w:hAnsi="宋体" w:eastAsia="宋体" w:cs="宋体"/>
          <w:spacing w:val="-7"/>
          <w:sz w:val="24"/>
          <w:szCs w:val="24"/>
          <w:highlight w:val="none"/>
        </w:rPr>
        <w:t>联系人：</w:t>
      </w:r>
      <w:r>
        <w:rPr>
          <w:rFonts w:ascii="宋体" w:hAnsi="宋体" w:eastAsia="宋体" w:cs="宋体"/>
          <w:spacing w:val="2"/>
          <w:sz w:val="24"/>
          <w:szCs w:val="24"/>
          <w:highlight w:val="none"/>
        </w:rPr>
        <w:t xml:space="preserve">                  </w:t>
      </w:r>
      <w:r>
        <w:rPr>
          <w:rFonts w:ascii="宋体" w:hAnsi="宋体" w:eastAsia="宋体" w:cs="宋体"/>
          <w:spacing w:val="-7"/>
          <w:sz w:val="24"/>
          <w:szCs w:val="24"/>
          <w:highlight w:val="none"/>
        </w:rPr>
        <w:t>电话：</w:t>
      </w:r>
    </w:p>
    <w:p w14:paraId="28FEE876">
      <w:pPr>
        <w:pStyle w:val="2"/>
        <w:spacing w:line="280" w:lineRule="auto"/>
        <w:rPr>
          <w:highlight w:val="none"/>
        </w:rPr>
      </w:pPr>
    </w:p>
    <w:p w14:paraId="587A4630">
      <w:pPr>
        <w:pStyle w:val="2"/>
        <w:spacing w:line="280" w:lineRule="auto"/>
        <w:rPr>
          <w:highlight w:val="none"/>
        </w:rPr>
      </w:pPr>
    </w:p>
    <w:p w14:paraId="00AEDCEE">
      <w:pPr>
        <w:pStyle w:val="2"/>
        <w:spacing w:line="280" w:lineRule="auto"/>
        <w:rPr>
          <w:highlight w:val="none"/>
        </w:rPr>
      </w:pPr>
    </w:p>
    <w:p w14:paraId="243D878F">
      <w:pPr>
        <w:spacing w:before="78" w:line="299" w:lineRule="auto"/>
        <w:ind w:left="6729" w:right="1153" w:hanging="600"/>
        <w:rPr>
          <w:rFonts w:ascii="宋体" w:hAnsi="宋体" w:eastAsia="宋体" w:cs="宋体"/>
          <w:sz w:val="24"/>
          <w:szCs w:val="24"/>
          <w:highlight w:val="none"/>
        </w:rPr>
      </w:pPr>
      <w:r>
        <w:rPr>
          <w:rFonts w:ascii="宋体" w:hAnsi="宋体" w:eastAsia="宋体" w:cs="宋体"/>
          <w:spacing w:val="-4"/>
          <w:sz w:val="24"/>
          <w:szCs w:val="24"/>
          <w:highlight w:val="none"/>
        </w:rPr>
        <w:t>供应商名称（公章）</w:t>
      </w:r>
      <w:r>
        <w:rPr>
          <w:rFonts w:ascii="宋体" w:hAnsi="宋体" w:eastAsia="宋体" w:cs="宋体"/>
          <w:spacing w:val="4"/>
          <w:sz w:val="24"/>
          <w:szCs w:val="24"/>
          <w:highlight w:val="none"/>
        </w:rPr>
        <w:t xml:space="preserve"> </w:t>
      </w:r>
      <w:r>
        <w:rPr>
          <w:rFonts w:ascii="宋体" w:hAnsi="宋体" w:eastAsia="宋体" w:cs="宋体"/>
          <w:spacing w:val="-9"/>
          <w:sz w:val="24"/>
          <w:szCs w:val="24"/>
          <w:highlight w:val="none"/>
        </w:rPr>
        <w:t>年</w:t>
      </w:r>
      <w:r>
        <w:rPr>
          <w:rFonts w:ascii="宋体" w:hAnsi="宋体" w:eastAsia="宋体" w:cs="宋体"/>
          <w:spacing w:val="5"/>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17"/>
          <w:sz w:val="24"/>
          <w:szCs w:val="24"/>
          <w:highlight w:val="none"/>
        </w:rPr>
        <w:t xml:space="preserve">   </w:t>
      </w:r>
      <w:r>
        <w:rPr>
          <w:rFonts w:ascii="宋体" w:hAnsi="宋体" w:eastAsia="宋体" w:cs="宋体"/>
          <w:spacing w:val="-9"/>
          <w:sz w:val="24"/>
          <w:szCs w:val="24"/>
          <w:highlight w:val="none"/>
        </w:rPr>
        <w:t>日</w:t>
      </w:r>
    </w:p>
    <w:p w14:paraId="733D19FE">
      <w:pPr>
        <w:spacing w:line="299" w:lineRule="auto"/>
        <w:rPr>
          <w:rFonts w:ascii="宋体" w:hAnsi="宋体" w:eastAsia="宋体" w:cs="宋体"/>
          <w:sz w:val="24"/>
          <w:szCs w:val="24"/>
          <w:highlight w:val="none"/>
        </w:rPr>
        <w:sectPr>
          <w:footerReference r:id="rId24" w:type="default"/>
          <w:pgSz w:w="11907" w:h="16840"/>
          <w:pgMar w:top="820" w:right="1190" w:bottom="1200" w:left="1303" w:header="0" w:footer="996" w:gutter="0"/>
          <w:cols w:space="720" w:num="1"/>
        </w:sectPr>
      </w:pPr>
    </w:p>
    <w:p w14:paraId="084A32A1">
      <w:pPr>
        <w:spacing w:before="67" w:line="219" w:lineRule="auto"/>
        <w:ind w:left="489"/>
        <w:outlineLvl w:val="1"/>
        <w:rPr>
          <w:rFonts w:ascii="宋体" w:hAnsi="宋体" w:eastAsia="宋体" w:cs="宋体"/>
          <w:sz w:val="24"/>
          <w:szCs w:val="24"/>
          <w:highlight w:val="none"/>
        </w:rPr>
      </w:pPr>
      <w:bookmarkStart w:id="59" w:name="bookmark56"/>
      <w:bookmarkEnd w:id="59"/>
      <w:r>
        <w:rPr>
          <w:rFonts w:ascii="宋体" w:hAnsi="宋体" w:eastAsia="宋体" w:cs="宋体"/>
          <w:spacing w:val="-1"/>
          <w:sz w:val="24"/>
          <w:szCs w:val="24"/>
          <w:highlight w:val="none"/>
        </w:rPr>
        <w:t>三、技术（质量）部分</w:t>
      </w:r>
    </w:p>
    <w:p w14:paraId="7689DC2C">
      <w:pPr>
        <w:spacing w:before="180" w:line="347" w:lineRule="auto"/>
        <w:ind w:left="493" w:right="6480" w:firstLine="7"/>
        <w:rPr>
          <w:rFonts w:ascii="宋体" w:hAnsi="宋体" w:eastAsia="宋体" w:cs="宋体"/>
          <w:sz w:val="24"/>
          <w:szCs w:val="24"/>
          <w:highlight w:val="none"/>
        </w:rPr>
      </w:pPr>
      <w:r>
        <w:rPr>
          <w:rFonts w:ascii="宋体" w:hAnsi="宋体" w:eastAsia="宋体" w:cs="宋体"/>
          <w:spacing w:val="-3"/>
          <w:sz w:val="24"/>
          <w:szCs w:val="24"/>
          <w:highlight w:val="none"/>
        </w:rPr>
        <w:t>（一）技术响应偏离表</w:t>
      </w:r>
      <w:r>
        <w:rPr>
          <w:rFonts w:ascii="宋体" w:hAnsi="宋体" w:eastAsia="宋体" w:cs="宋体"/>
          <w:spacing w:val="8"/>
          <w:sz w:val="24"/>
          <w:szCs w:val="24"/>
          <w:highlight w:val="none"/>
        </w:rPr>
        <w:t xml:space="preserve"> </w:t>
      </w:r>
      <w:r>
        <w:rPr>
          <w:rFonts w:ascii="宋体" w:hAnsi="宋体" w:eastAsia="宋体" w:cs="宋体"/>
          <w:spacing w:val="-3"/>
          <w:sz w:val="24"/>
          <w:szCs w:val="24"/>
          <w:highlight w:val="none"/>
        </w:rPr>
        <w:t>项目名称：</w:t>
      </w:r>
    </w:p>
    <w:p w14:paraId="1BFAA945">
      <w:pPr>
        <w:spacing w:before="31" w:line="213" w:lineRule="auto"/>
        <w:ind w:left="492"/>
        <w:rPr>
          <w:rFonts w:ascii="宋体" w:hAnsi="宋体" w:eastAsia="宋体" w:cs="宋体"/>
          <w:sz w:val="24"/>
          <w:szCs w:val="24"/>
          <w:highlight w:val="none"/>
        </w:rPr>
      </w:pPr>
      <w:r>
        <w:rPr>
          <w:rFonts w:ascii="宋体" w:hAnsi="宋体" w:eastAsia="宋体" w:cs="宋体"/>
          <w:spacing w:val="-5"/>
          <w:sz w:val="24"/>
          <w:szCs w:val="24"/>
          <w:highlight w:val="none"/>
        </w:rPr>
        <w:t>分包：</w:t>
      </w:r>
    </w:p>
    <w:tbl>
      <w:tblPr>
        <w:tblStyle w:val="6"/>
        <w:tblW w:w="8626" w:type="dxa"/>
        <w:tblInd w:w="3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2656"/>
        <w:gridCol w:w="2757"/>
        <w:gridCol w:w="2071"/>
      </w:tblGrid>
      <w:tr w14:paraId="5C16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42" w:type="dxa"/>
            <w:vAlign w:val="top"/>
          </w:tcPr>
          <w:p w14:paraId="7C53D86D">
            <w:pPr>
              <w:pStyle w:val="7"/>
              <w:spacing w:before="63" w:line="221" w:lineRule="auto"/>
              <w:ind w:left="116"/>
              <w:rPr>
                <w:sz w:val="24"/>
                <w:szCs w:val="24"/>
                <w:highlight w:val="none"/>
              </w:rPr>
            </w:pPr>
            <w:r>
              <w:rPr>
                <w:spacing w:val="-5"/>
                <w:sz w:val="24"/>
                <w:szCs w:val="24"/>
                <w:highlight w:val="none"/>
              </w:rPr>
              <w:t>序号</w:t>
            </w:r>
          </w:p>
        </w:tc>
        <w:tc>
          <w:tcPr>
            <w:tcW w:w="2656" w:type="dxa"/>
            <w:vAlign w:val="top"/>
          </w:tcPr>
          <w:p w14:paraId="3F4D4E05">
            <w:pPr>
              <w:pStyle w:val="7"/>
              <w:spacing w:before="63" w:line="219" w:lineRule="auto"/>
              <w:ind w:left="591"/>
              <w:rPr>
                <w:sz w:val="24"/>
                <w:szCs w:val="24"/>
                <w:highlight w:val="none"/>
              </w:rPr>
            </w:pPr>
            <w:r>
              <w:rPr>
                <w:spacing w:val="-3"/>
                <w:sz w:val="24"/>
                <w:szCs w:val="24"/>
                <w:highlight w:val="none"/>
              </w:rPr>
              <w:t>采购需求</w:t>
            </w:r>
          </w:p>
        </w:tc>
        <w:tc>
          <w:tcPr>
            <w:tcW w:w="2757" w:type="dxa"/>
            <w:vAlign w:val="top"/>
          </w:tcPr>
          <w:p w14:paraId="6665EE5A">
            <w:pPr>
              <w:pStyle w:val="7"/>
              <w:spacing w:before="63" w:line="220" w:lineRule="auto"/>
              <w:ind w:left="608"/>
              <w:rPr>
                <w:sz w:val="24"/>
                <w:szCs w:val="24"/>
                <w:highlight w:val="none"/>
              </w:rPr>
            </w:pPr>
            <w:r>
              <w:rPr>
                <w:spacing w:val="-6"/>
                <w:sz w:val="24"/>
                <w:szCs w:val="24"/>
                <w:highlight w:val="none"/>
              </w:rPr>
              <w:t>响应情况</w:t>
            </w:r>
          </w:p>
        </w:tc>
        <w:tc>
          <w:tcPr>
            <w:tcW w:w="2071" w:type="dxa"/>
            <w:vAlign w:val="top"/>
          </w:tcPr>
          <w:p w14:paraId="12985256">
            <w:pPr>
              <w:pStyle w:val="7"/>
              <w:spacing w:before="64" w:line="219" w:lineRule="auto"/>
              <w:ind w:left="599"/>
              <w:rPr>
                <w:sz w:val="24"/>
                <w:szCs w:val="24"/>
                <w:highlight w:val="none"/>
              </w:rPr>
            </w:pPr>
            <w:r>
              <w:rPr>
                <w:spacing w:val="-4"/>
                <w:sz w:val="24"/>
                <w:szCs w:val="24"/>
                <w:highlight w:val="none"/>
              </w:rPr>
              <w:t>差异说明</w:t>
            </w:r>
          </w:p>
        </w:tc>
      </w:tr>
      <w:tr w14:paraId="1642C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142" w:type="dxa"/>
            <w:vAlign w:val="top"/>
          </w:tcPr>
          <w:p w14:paraId="17EDD06B">
            <w:pPr>
              <w:rPr>
                <w:rFonts w:ascii="Arial"/>
                <w:sz w:val="21"/>
                <w:highlight w:val="none"/>
              </w:rPr>
            </w:pPr>
          </w:p>
        </w:tc>
        <w:tc>
          <w:tcPr>
            <w:tcW w:w="2656" w:type="dxa"/>
            <w:vAlign w:val="top"/>
          </w:tcPr>
          <w:p w14:paraId="3660F4F5">
            <w:pPr>
              <w:rPr>
                <w:rFonts w:ascii="Arial"/>
                <w:sz w:val="21"/>
                <w:highlight w:val="none"/>
              </w:rPr>
            </w:pPr>
          </w:p>
        </w:tc>
        <w:tc>
          <w:tcPr>
            <w:tcW w:w="2757" w:type="dxa"/>
            <w:vAlign w:val="top"/>
          </w:tcPr>
          <w:p w14:paraId="1DAFBE00">
            <w:pPr>
              <w:pStyle w:val="7"/>
              <w:spacing w:before="35" w:line="351" w:lineRule="auto"/>
              <w:ind w:left="118" w:right="103" w:firstLine="479"/>
              <w:rPr>
                <w:sz w:val="24"/>
                <w:szCs w:val="24"/>
                <w:highlight w:val="none"/>
              </w:rPr>
            </w:pPr>
            <w:r>
              <w:rPr>
                <w:spacing w:val="-13"/>
                <w:sz w:val="24"/>
                <w:szCs w:val="24"/>
                <w:highlight w:val="none"/>
              </w:rPr>
              <w:t>提醒：请注明技术参</w:t>
            </w:r>
            <w:r>
              <w:rPr>
                <w:spacing w:val="7"/>
                <w:sz w:val="24"/>
                <w:szCs w:val="24"/>
                <w:highlight w:val="none"/>
              </w:rPr>
              <w:t xml:space="preserve"> </w:t>
            </w:r>
            <w:r>
              <w:rPr>
                <w:spacing w:val="-2"/>
                <w:sz w:val="24"/>
                <w:szCs w:val="24"/>
                <w:highlight w:val="none"/>
              </w:rPr>
              <w:t>数或具体内容以及响应</w:t>
            </w:r>
            <w:r>
              <w:rPr>
                <w:spacing w:val="3"/>
                <w:sz w:val="24"/>
                <w:szCs w:val="24"/>
                <w:highlight w:val="none"/>
              </w:rPr>
              <w:t xml:space="preserve">  </w:t>
            </w:r>
            <w:r>
              <w:rPr>
                <w:spacing w:val="-2"/>
                <w:sz w:val="24"/>
                <w:szCs w:val="24"/>
                <w:highlight w:val="none"/>
              </w:rPr>
              <w:t>文件中技术参数或具体</w:t>
            </w:r>
            <w:r>
              <w:rPr>
                <w:spacing w:val="3"/>
                <w:sz w:val="24"/>
                <w:szCs w:val="24"/>
                <w:highlight w:val="none"/>
              </w:rPr>
              <w:t xml:space="preserve">  </w:t>
            </w:r>
            <w:r>
              <w:rPr>
                <w:spacing w:val="-2"/>
                <w:sz w:val="24"/>
                <w:szCs w:val="24"/>
                <w:highlight w:val="none"/>
              </w:rPr>
              <w:t>内容的位置（页码）</w:t>
            </w:r>
          </w:p>
        </w:tc>
        <w:tc>
          <w:tcPr>
            <w:tcW w:w="2071" w:type="dxa"/>
            <w:vAlign w:val="top"/>
          </w:tcPr>
          <w:p w14:paraId="6C9ED0C4">
            <w:pPr>
              <w:rPr>
                <w:rFonts w:ascii="Arial"/>
                <w:sz w:val="21"/>
                <w:highlight w:val="none"/>
              </w:rPr>
            </w:pPr>
          </w:p>
        </w:tc>
      </w:tr>
      <w:tr w14:paraId="4CD1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42" w:type="dxa"/>
            <w:vAlign w:val="top"/>
          </w:tcPr>
          <w:p w14:paraId="171A3B06">
            <w:pPr>
              <w:rPr>
                <w:rFonts w:ascii="Arial"/>
                <w:sz w:val="21"/>
                <w:highlight w:val="none"/>
              </w:rPr>
            </w:pPr>
          </w:p>
        </w:tc>
        <w:tc>
          <w:tcPr>
            <w:tcW w:w="2656" w:type="dxa"/>
            <w:vAlign w:val="top"/>
          </w:tcPr>
          <w:p w14:paraId="35D4E9C4">
            <w:pPr>
              <w:rPr>
                <w:rFonts w:ascii="Arial"/>
                <w:sz w:val="21"/>
                <w:highlight w:val="none"/>
              </w:rPr>
            </w:pPr>
          </w:p>
        </w:tc>
        <w:tc>
          <w:tcPr>
            <w:tcW w:w="2757" w:type="dxa"/>
            <w:vAlign w:val="top"/>
          </w:tcPr>
          <w:p w14:paraId="7A9FDDD1">
            <w:pPr>
              <w:rPr>
                <w:rFonts w:ascii="Arial"/>
                <w:sz w:val="21"/>
                <w:highlight w:val="none"/>
              </w:rPr>
            </w:pPr>
          </w:p>
        </w:tc>
        <w:tc>
          <w:tcPr>
            <w:tcW w:w="2071" w:type="dxa"/>
            <w:vAlign w:val="top"/>
          </w:tcPr>
          <w:p w14:paraId="633043FE">
            <w:pPr>
              <w:rPr>
                <w:rFonts w:ascii="Arial"/>
                <w:sz w:val="21"/>
                <w:highlight w:val="none"/>
              </w:rPr>
            </w:pPr>
          </w:p>
        </w:tc>
      </w:tr>
      <w:tr w14:paraId="1CFF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099B38FA">
            <w:pPr>
              <w:rPr>
                <w:rFonts w:ascii="Arial"/>
                <w:sz w:val="21"/>
                <w:highlight w:val="none"/>
              </w:rPr>
            </w:pPr>
          </w:p>
        </w:tc>
        <w:tc>
          <w:tcPr>
            <w:tcW w:w="2656" w:type="dxa"/>
            <w:vAlign w:val="top"/>
          </w:tcPr>
          <w:p w14:paraId="2B8181E4">
            <w:pPr>
              <w:rPr>
                <w:rFonts w:ascii="Arial"/>
                <w:sz w:val="21"/>
                <w:highlight w:val="none"/>
              </w:rPr>
            </w:pPr>
          </w:p>
        </w:tc>
        <w:tc>
          <w:tcPr>
            <w:tcW w:w="2757" w:type="dxa"/>
            <w:vAlign w:val="top"/>
          </w:tcPr>
          <w:p w14:paraId="441E5202">
            <w:pPr>
              <w:rPr>
                <w:rFonts w:ascii="Arial"/>
                <w:sz w:val="21"/>
                <w:highlight w:val="none"/>
              </w:rPr>
            </w:pPr>
          </w:p>
        </w:tc>
        <w:tc>
          <w:tcPr>
            <w:tcW w:w="2071" w:type="dxa"/>
            <w:vAlign w:val="top"/>
          </w:tcPr>
          <w:p w14:paraId="0DCB777A">
            <w:pPr>
              <w:rPr>
                <w:rFonts w:ascii="Arial"/>
                <w:sz w:val="21"/>
                <w:highlight w:val="none"/>
              </w:rPr>
            </w:pPr>
          </w:p>
        </w:tc>
      </w:tr>
      <w:tr w14:paraId="16D0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42" w:type="dxa"/>
            <w:vAlign w:val="top"/>
          </w:tcPr>
          <w:p w14:paraId="7F315CD0">
            <w:pPr>
              <w:rPr>
                <w:rFonts w:ascii="Arial"/>
                <w:sz w:val="21"/>
                <w:highlight w:val="none"/>
              </w:rPr>
            </w:pPr>
          </w:p>
        </w:tc>
        <w:tc>
          <w:tcPr>
            <w:tcW w:w="2656" w:type="dxa"/>
            <w:vAlign w:val="top"/>
          </w:tcPr>
          <w:p w14:paraId="46B6DF46">
            <w:pPr>
              <w:rPr>
                <w:rFonts w:ascii="Arial"/>
                <w:sz w:val="21"/>
                <w:highlight w:val="none"/>
              </w:rPr>
            </w:pPr>
          </w:p>
        </w:tc>
        <w:tc>
          <w:tcPr>
            <w:tcW w:w="2757" w:type="dxa"/>
            <w:vAlign w:val="top"/>
          </w:tcPr>
          <w:p w14:paraId="1B9BF44C">
            <w:pPr>
              <w:rPr>
                <w:rFonts w:ascii="Arial"/>
                <w:sz w:val="21"/>
                <w:highlight w:val="none"/>
              </w:rPr>
            </w:pPr>
          </w:p>
        </w:tc>
        <w:tc>
          <w:tcPr>
            <w:tcW w:w="2071" w:type="dxa"/>
            <w:vAlign w:val="top"/>
          </w:tcPr>
          <w:p w14:paraId="7FD06A5C">
            <w:pPr>
              <w:rPr>
                <w:rFonts w:ascii="Arial"/>
                <w:sz w:val="21"/>
                <w:highlight w:val="none"/>
              </w:rPr>
            </w:pPr>
          </w:p>
        </w:tc>
      </w:tr>
      <w:tr w14:paraId="0527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7EB49747">
            <w:pPr>
              <w:rPr>
                <w:rFonts w:ascii="Arial"/>
                <w:sz w:val="21"/>
                <w:highlight w:val="none"/>
              </w:rPr>
            </w:pPr>
          </w:p>
        </w:tc>
        <w:tc>
          <w:tcPr>
            <w:tcW w:w="2656" w:type="dxa"/>
            <w:vAlign w:val="top"/>
          </w:tcPr>
          <w:p w14:paraId="4EB3AEFA">
            <w:pPr>
              <w:rPr>
                <w:rFonts w:ascii="Arial"/>
                <w:sz w:val="21"/>
                <w:highlight w:val="none"/>
              </w:rPr>
            </w:pPr>
          </w:p>
        </w:tc>
        <w:tc>
          <w:tcPr>
            <w:tcW w:w="2757" w:type="dxa"/>
            <w:vAlign w:val="top"/>
          </w:tcPr>
          <w:p w14:paraId="261235D7">
            <w:pPr>
              <w:rPr>
                <w:rFonts w:ascii="Arial"/>
                <w:sz w:val="21"/>
                <w:highlight w:val="none"/>
              </w:rPr>
            </w:pPr>
          </w:p>
        </w:tc>
        <w:tc>
          <w:tcPr>
            <w:tcW w:w="2071" w:type="dxa"/>
            <w:vAlign w:val="top"/>
          </w:tcPr>
          <w:p w14:paraId="0CEE350A">
            <w:pPr>
              <w:rPr>
                <w:rFonts w:ascii="Arial"/>
                <w:sz w:val="21"/>
                <w:highlight w:val="none"/>
              </w:rPr>
            </w:pPr>
          </w:p>
        </w:tc>
      </w:tr>
      <w:tr w14:paraId="20CE7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42" w:type="dxa"/>
            <w:vAlign w:val="top"/>
          </w:tcPr>
          <w:p w14:paraId="30ACE66F">
            <w:pPr>
              <w:rPr>
                <w:rFonts w:ascii="Arial"/>
                <w:sz w:val="21"/>
                <w:highlight w:val="none"/>
              </w:rPr>
            </w:pPr>
          </w:p>
        </w:tc>
        <w:tc>
          <w:tcPr>
            <w:tcW w:w="2656" w:type="dxa"/>
            <w:vAlign w:val="top"/>
          </w:tcPr>
          <w:p w14:paraId="4C4E2AB4">
            <w:pPr>
              <w:rPr>
                <w:rFonts w:ascii="Arial"/>
                <w:sz w:val="21"/>
                <w:highlight w:val="none"/>
              </w:rPr>
            </w:pPr>
          </w:p>
        </w:tc>
        <w:tc>
          <w:tcPr>
            <w:tcW w:w="2757" w:type="dxa"/>
            <w:vAlign w:val="top"/>
          </w:tcPr>
          <w:p w14:paraId="5D9A11C1">
            <w:pPr>
              <w:rPr>
                <w:rFonts w:ascii="Arial"/>
                <w:sz w:val="21"/>
                <w:highlight w:val="none"/>
              </w:rPr>
            </w:pPr>
          </w:p>
        </w:tc>
        <w:tc>
          <w:tcPr>
            <w:tcW w:w="2071" w:type="dxa"/>
            <w:vAlign w:val="top"/>
          </w:tcPr>
          <w:p w14:paraId="194E5DD5">
            <w:pPr>
              <w:rPr>
                <w:rFonts w:ascii="Arial"/>
                <w:sz w:val="21"/>
                <w:highlight w:val="none"/>
              </w:rPr>
            </w:pPr>
          </w:p>
        </w:tc>
      </w:tr>
      <w:tr w14:paraId="1D94D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0975743A">
            <w:pPr>
              <w:rPr>
                <w:rFonts w:ascii="Arial"/>
                <w:sz w:val="21"/>
                <w:highlight w:val="none"/>
              </w:rPr>
            </w:pPr>
          </w:p>
        </w:tc>
        <w:tc>
          <w:tcPr>
            <w:tcW w:w="2656" w:type="dxa"/>
            <w:vAlign w:val="top"/>
          </w:tcPr>
          <w:p w14:paraId="6BCF1938">
            <w:pPr>
              <w:rPr>
                <w:rFonts w:ascii="Arial"/>
                <w:sz w:val="21"/>
                <w:highlight w:val="none"/>
              </w:rPr>
            </w:pPr>
          </w:p>
        </w:tc>
        <w:tc>
          <w:tcPr>
            <w:tcW w:w="2757" w:type="dxa"/>
            <w:vAlign w:val="top"/>
          </w:tcPr>
          <w:p w14:paraId="70992BE6">
            <w:pPr>
              <w:rPr>
                <w:rFonts w:ascii="Arial"/>
                <w:sz w:val="21"/>
                <w:highlight w:val="none"/>
              </w:rPr>
            </w:pPr>
          </w:p>
        </w:tc>
        <w:tc>
          <w:tcPr>
            <w:tcW w:w="2071" w:type="dxa"/>
            <w:vAlign w:val="top"/>
          </w:tcPr>
          <w:p w14:paraId="1C9BAB50">
            <w:pPr>
              <w:rPr>
                <w:rFonts w:ascii="Arial"/>
                <w:sz w:val="21"/>
                <w:highlight w:val="none"/>
              </w:rPr>
            </w:pPr>
          </w:p>
        </w:tc>
      </w:tr>
      <w:tr w14:paraId="4F82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7DAA5EFC">
            <w:pPr>
              <w:rPr>
                <w:rFonts w:ascii="Arial"/>
                <w:sz w:val="21"/>
                <w:highlight w:val="none"/>
              </w:rPr>
            </w:pPr>
          </w:p>
        </w:tc>
        <w:tc>
          <w:tcPr>
            <w:tcW w:w="2656" w:type="dxa"/>
            <w:vAlign w:val="top"/>
          </w:tcPr>
          <w:p w14:paraId="321C70EE">
            <w:pPr>
              <w:rPr>
                <w:rFonts w:ascii="Arial"/>
                <w:sz w:val="21"/>
                <w:highlight w:val="none"/>
              </w:rPr>
            </w:pPr>
          </w:p>
        </w:tc>
        <w:tc>
          <w:tcPr>
            <w:tcW w:w="2757" w:type="dxa"/>
            <w:vAlign w:val="top"/>
          </w:tcPr>
          <w:p w14:paraId="39F17F12">
            <w:pPr>
              <w:rPr>
                <w:rFonts w:ascii="Arial"/>
                <w:sz w:val="21"/>
                <w:highlight w:val="none"/>
              </w:rPr>
            </w:pPr>
          </w:p>
        </w:tc>
        <w:tc>
          <w:tcPr>
            <w:tcW w:w="2071" w:type="dxa"/>
            <w:vAlign w:val="top"/>
          </w:tcPr>
          <w:p w14:paraId="48A23ACD">
            <w:pPr>
              <w:rPr>
                <w:rFonts w:ascii="Arial"/>
                <w:sz w:val="21"/>
                <w:highlight w:val="none"/>
              </w:rPr>
            </w:pPr>
          </w:p>
        </w:tc>
      </w:tr>
      <w:tr w14:paraId="76B6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42" w:type="dxa"/>
            <w:vAlign w:val="top"/>
          </w:tcPr>
          <w:p w14:paraId="33EB05E3">
            <w:pPr>
              <w:rPr>
                <w:rFonts w:ascii="Arial"/>
                <w:sz w:val="21"/>
                <w:highlight w:val="none"/>
              </w:rPr>
            </w:pPr>
          </w:p>
        </w:tc>
        <w:tc>
          <w:tcPr>
            <w:tcW w:w="2656" w:type="dxa"/>
            <w:vAlign w:val="top"/>
          </w:tcPr>
          <w:p w14:paraId="3C601CD7">
            <w:pPr>
              <w:rPr>
                <w:rFonts w:ascii="Arial"/>
                <w:sz w:val="21"/>
                <w:highlight w:val="none"/>
              </w:rPr>
            </w:pPr>
          </w:p>
        </w:tc>
        <w:tc>
          <w:tcPr>
            <w:tcW w:w="2757" w:type="dxa"/>
            <w:vAlign w:val="top"/>
          </w:tcPr>
          <w:p w14:paraId="4DA02497">
            <w:pPr>
              <w:rPr>
                <w:rFonts w:ascii="Arial"/>
                <w:sz w:val="21"/>
                <w:highlight w:val="none"/>
              </w:rPr>
            </w:pPr>
          </w:p>
        </w:tc>
        <w:tc>
          <w:tcPr>
            <w:tcW w:w="2071" w:type="dxa"/>
            <w:vAlign w:val="top"/>
          </w:tcPr>
          <w:p w14:paraId="3860DEA2">
            <w:pPr>
              <w:rPr>
                <w:rFonts w:ascii="Arial"/>
                <w:sz w:val="21"/>
                <w:highlight w:val="none"/>
              </w:rPr>
            </w:pPr>
          </w:p>
        </w:tc>
      </w:tr>
      <w:tr w14:paraId="028A2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42" w:type="dxa"/>
            <w:vAlign w:val="top"/>
          </w:tcPr>
          <w:p w14:paraId="55A4F501">
            <w:pPr>
              <w:rPr>
                <w:rFonts w:ascii="Arial"/>
                <w:sz w:val="21"/>
                <w:highlight w:val="none"/>
              </w:rPr>
            </w:pPr>
          </w:p>
        </w:tc>
        <w:tc>
          <w:tcPr>
            <w:tcW w:w="2656" w:type="dxa"/>
            <w:vAlign w:val="top"/>
          </w:tcPr>
          <w:p w14:paraId="0C987647">
            <w:pPr>
              <w:rPr>
                <w:rFonts w:ascii="Arial"/>
                <w:sz w:val="21"/>
                <w:highlight w:val="none"/>
              </w:rPr>
            </w:pPr>
          </w:p>
        </w:tc>
        <w:tc>
          <w:tcPr>
            <w:tcW w:w="2757" w:type="dxa"/>
            <w:vAlign w:val="top"/>
          </w:tcPr>
          <w:p w14:paraId="44D043C2">
            <w:pPr>
              <w:rPr>
                <w:rFonts w:ascii="Arial"/>
                <w:sz w:val="21"/>
                <w:highlight w:val="none"/>
              </w:rPr>
            </w:pPr>
          </w:p>
        </w:tc>
        <w:tc>
          <w:tcPr>
            <w:tcW w:w="2071" w:type="dxa"/>
            <w:vAlign w:val="top"/>
          </w:tcPr>
          <w:p w14:paraId="60E680B5">
            <w:pPr>
              <w:rPr>
                <w:rFonts w:ascii="Arial"/>
                <w:sz w:val="21"/>
                <w:highlight w:val="none"/>
              </w:rPr>
            </w:pPr>
          </w:p>
        </w:tc>
      </w:tr>
    </w:tbl>
    <w:p w14:paraId="08671867">
      <w:pPr>
        <w:pStyle w:val="2"/>
        <w:spacing w:line="423" w:lineRule="auto"/>
        <w:rPr>
          <w:highlight w:val="none"/>
        </w:rPr>
      </w:pPr>
    </w:p>
    <w:p w14:paraId="60259D71">
      <w:pPr>
        <w:spacing w:before="78" w:line="219" w:lineRule="auto"/>
        <w:ind w:left="489"/>
        <w:rPr>
          <w:rFonts w:ascii="宋体" w:hAnsi="宋体" w:eastAsia="宋体" w:cs="宋体"/>
          <w:sz w:val="24"/>
          <w:szCs w:val="24"/>
          <w:highlight w:val="none"/>
        </w:rPr>
      </w:pPr>
      <w:r>
        <w:rPr>
          <w:rFonts w:ascii="宋体" w:hAnsi="宋体" w:eastAsia="宋体" w:cs="宋体"/>
          <w:sz w:val="24"/>
          <w:szCs w:val="24"/>
          <w:highlight w:val="none"/>
        </w:rPr>
        <w:t>供应商：                                      法</w:t>
      </w:r>
      <w:r>
        <w:rPr>
          <w:rFonts w:ascii="宋体" w:hAnsi="宋体" w:eastAsia="宋体" w:cs="宋体"/>
          <w:spacing w:val="-1"/>
          <w:sz w:val="24"/>
          <w:szCs w:val="24"/>
          <w:highlight w:val="none"/>
        </w:rPr>
        <w:t>定代表人或其授权代表：</w:t>
      </w:r>
    </w:p>
    <w:p w14:paraId="75F83F45">
      <w:pPr>
        <w:pStyle w:val="2"/>
        <w:spacing w:line="283" w:lineRule="auto"/>
        <w:rPr>
          <w:highlight w:val="none"/>
        </w:rPr>
      </w:pPr>
    </w:p>
    <w:p w14:paraId="14E617FE">
      <w:pPr>
        <w:pStyle w:val="2"/>
        <w:spacing w:line="284" w:lineRule="auto"/>
        <w:rPr>
          <w:highlight w:val="none"/>
        </w:rPr>
      </w:pPr>
    </w:p>
    <w:p w14:paraId="7E32F7BA">
      <w:pPr>
        <w:spacing w:before="78" w:line="219" w:lineRule="auto"/>
        <w:ind w:left="501"/>
        <w:rPr>
          <w:rFonts w:ascii="宋体" w:hAnsi="宋体" w:eastAsia="宋体" w:cs="宋体"/>
          <w:sz w:val="24"/>
          <w:szCs w:val="24"/>
          <w:highlight w:val="none"/>
        </w:rPr>
      </w:pPr>
      <w:r>
        <w:rPr>
          <w:rFonts w:ascii="宋体" w:hAnsi="宋体" w:eastAsia="宋体" w:cs="宋体"/>
          <w:spacing w:val="1"/>
          <w:sz w:val="24"/>
          <w:szCs w:val="24"/>
          <w:highlight w:val="none"/>
        </w:rPr>
        <w:t>（供应商公章</w:t>
      </w:r>
      <w:r>
        <w:rPr>
          <w:rFonts w:ascii="宋体" w:hAnsi="宋体" w:eastAsia="宋体" w:cs="宋体"/>
          <w:spacing w:val="-17"/>
          <w:sz w:val="24"/>
          <w:szCs w:val="24"/>
          <w:highlight w:val="none"/>
        </w:rPr>
        <w:t>）</w:t>
      </w:r>
      <w:r>
        <w:rPr>
          <w:rFonts w:ascii="宋体" w:hAnsi="宋体" w:eastAsia="宋体" w:cs="宋体"/>
          <w:spacing w:val="4"/>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1"/>
          <w:sz w:val="24"/>
          <w:szCs w:val="24"/>
          <w:highlight w:val="none"/>
        </w:rPr>
        <w:t>签字或盖章）</w:t>
      </w:r>
    </w:p>
    <w:p w14:paraId="218E204F">
      <w:pPr>
        <w:spacing w:before="181" w:line="219" w:lineRule="auto"/>
        <w:ind w:left="5770"/>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spacing w:val="-9"/>
          <w:sz w:val="24"/>
          <w:szCs w:val="24"/>
          <w:highlight w:val="none"/>
        </w:rPr>
        <w:t>日</w:t>
      </w:r>
    </w:p>
    <w:p w14:paraId="7E4981C1">
      <w:pPr>
        <w:spacing w:before="259" w:line="224" w:lineRule="auto"/>
        <w:ind w:left="489"/>
        <w:rPr>
          <w:rFonts w:ascii="宋体" w:hAnsi="宋体" w:eastAsia="宋体" w:cs="宋体"/>
          <w:sz w:val="24"/>
          <w:szCs w:val="24"/>
          <w:highlight w:val="none"/>
        </w:rPr>
      </w:pPr>
      <w:r>
        <w:rPr>
          <w:rFonts w:ascii="宋体" w:hAnsi="宋体" w:eastAsia="宋体" w:cs="宋体"/>
          <w:spacing w:val="-5"/>
          <w:sz w:val="24"/>
          <w:szCs w:val="24"/>
          <w:highlight w:val="none"/>
        </w:rPr>
        <w:t>注：</w:t>
      </w:r>
    </w:p>
    <w:p w14:paraId="0274014D">
      <w:pPr>
        <w:spacing w:before="110" w:line="219" w:lineRule="auto"/>
        <w:ind w:left="507"/>
        <w:rPr>
          <w:rFonts w:ascii="宋体" w:hAnsi="宋体" w:eastAsia="宋体" w:cs="宋体"/>
          <w:sz w:val="24"/>
          <w:szCs w:val="24"/>
          <w:highlight w:val="none"/>
        </w:rPr>
      </w:pPr>
      <w:r>
        <w:rPr>
          <w:rFonts w:ascii="宋体" w:hAnsi="宋体" w:eastAsia="宋体" w:cs="宋体"/>
          <w:spacing w:val="-2"/>
          <w:sz w:val="24"/>
          <w:szCs w:val="24"/>
          <w:highlight w:val="none"/>
        </w:rPr>
        <w:t>1.本表即为对本项目“第二篇</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”中所列的要求进行比较和</w:t>
      </w:r>
      <w:r>
        <w:rPr>
          <w:rFonts w:ascii="宋体" w:hAnsi="宋体" w:eastAsia="宋体" w:cs="宋体"/>
          <w:spacing w:val="-3"/>
          <w:sz w:val="24"/>
          <w:szCs w:val="24"/>
          <w:highlight w:val="none"/>
        </w:rPr>
        <w:t>响应；</w:t>
      </w:r>
    </w:p>
    <w:p w14:paraId="0C610959">
      <w:pPr>
        <w:spacing w:before="117" w:line="293" w:lineRule="auto"/>
        <w:ind w:left="14" w:firstLine="478"/>
        <w:rPr>
          <w:rFonts w:ascii="宋体" w:hAnsi="宋体" w:eastAsia="宋体" w:cs="宋体"/>
          <w:sz w:val="24"/>
          <w:szCs w:val="24"/>
          <w:highlight w:val="none"/>
        </w:rPr>
      </w:pPr>
      <w:r>
        <w:rPr>
          <w:rFonts w:ascii="宋体" w:hAnsi="宋体" w:eastAsia="宋体" w:cs="宋体"/>
          <w:spacing w:val="-1"/>
          <w:sz w:val="24"/>
          <w:szCs w:val="24"/>
          <w:highlight w:val="none"/>
        </w:rPr>
        <w:t>2.该表必须按照竞争性比选要求逐条如实填写，根据响应情况在“</w:t>
      </w:r>
      <w:r>
        <w:rPr>
          <w:rFonts w:ascii="宋体" w:hAnsi="宋体" w:eastAsia="宋体" w:cs="宋体"/>
          <w:spacing w:val="-2"/>
          <w:sz w:val="24"/>
          <w:szCs w:val="24"/>
          <w:highlight w:val="none"/>
        </w:rPr>
        <w:t>差异说明</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”项填写</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正偏离或负偏离及原因，完全符合的填写“无差异</w:t>
      </w:r>
      <w:r>
        <w:rPr>
          <w:rFonts w:ascii="宋体" w:hAnsi="宋体" w:eastAsia="宋体" w:cs="宋体"/>
          <w:spacing w:val="-82"/>
          <w:sz w:val="24"/>
          <w:szCs w:val="24"/>
          <w:highlight w:val="none"/>
        </w:rPr>
        <w:t xml:space="preserve"> </w:t>
      </w:r>
      <w:r>
        <w:rPr>
          <w:rFonts w:ascii="宋体" w:hAnsi="宋体" w:eastAsia="宋体" w:cs="宋体"/>
          <w:spacing w:val="-1"/>
          <w:sz w:val="24"/>
          <w:szCs w:val="24"/>
          <w:highlight w:val="none"/>
        </w:rPr>
        <w:t>”；</w:t>
      </w:r>
    </w:p>
    <w:p w14:paraId="178045EC">
      <w:pPr>
        <w:spacing w:before="36" w:line="219" w:lineRule="auto"/>
        <w:ind w:left="494"/>
        <w:rPr>
          <w:rFonts w:ascii="宋体" w:hAnsi="宋体" w:eastAsia="宋体" w:cs="宋体"/>
          <w:sz w:val="24"/>
          <w:szCs w:val="24"/>
          <w:highlight w:val="none"/>
        </w:rPr>
      </w:pPr>
      <w:r>
        <w:rPr>
          <w:rFonts w:ascii="宋体" w:hAnsi="宋体" w:eastAsia="宋体" w:cs="宋体"/>
          <w:spacing w:val="-1"/>
          <w:sz w:val="24"/>
          <w:szCs w:val="24"/>
          <w:highlight w:val="none"/>
        </w:rPr>
        <w:t>3.该表可扩展，并逐页签字或盖章。</w:t>
      </w:r>
    </w:p>
    <w:p w14:paraId="05ECEBC4">
      <w:pPr>
        <w:spacing w:line="219" w:lineRule="auto"/>
        <w:rPr>
          <w:rFonts w:ascii="宋体" w:hAnsi="宋体" w:eastAsia="宋体" w:cs="宋体"/>
          <w:sz w:val="24"/>
          <w:szCs w:val="24"/>
          <w:highlight w:val="none"/>
        </w:rPr>
        <w:sectPr>
          <w:headerReference r:id="rId25" w:type="default"/>
          <w:footerReference r:id="rId26" w:type="default"/>
          <w:pgSz w:w="11907" w:h="16840"/>
          <w:pgMar w:top="1103" w:right="1243" w:bottom="1200" w:left="1303" w:header="854" w:footer="996" w:gutter="0"/>
          <w:cols w:space="720" w:num="1"/>
        </w:sectPr>
      </w:pPr>
    </w:p>
    <w:p w14:paraId="36C105CD">
      <w:pPr>
        <w:spacing w:before="66" w:line="219" w:lineRule="auto"/>
        <w:ind w:left="501"/>
        <w:outlineLvl w:val="2"/>
        <w:rPr>
          <w:rFonts w:ascii="宋体" w:hAnsi="宋体" w:eastAsia="宋体" w:cs="宋体"/>
          <w:sz w:val="24"/>
          <w:szCs w:val="24"/>
          <w:highlight w:val="none"/>
        </w:rPr>
      </w:pPr>
      <w:r>
        <w:rPr>
          <w:rFonts w:ascii="宋体" w:hAnsi="宋体" w:eastAsia="宋体" w:cs="宋体"/>
          <w:spacing w:val="-2"/>
          <w:sz w:val="24"/>
          <w:szCs w:val="24"/>
          <w:highlight w:val="none"/>
        </w:rPr>
        <w:t>（二）技术评审需提供的材料</w:t>
      </w:r>
    </w:p>
    <w:p w14:paraId="412303C3">
      <w:pPr>
        <w:spacing w:line="219" w:lineRule="auto"/>
        <w:rPr>
          <w:rFonts w:ascii="宋体" w:hAnsi="宋体" w:eastAsia="宋体" w:cs="宋体"/>
          <w:sz w:val="24"/>
          <w:szCs w:val="24"/>
          <w:highlight w:val="none"/>
        </w:rPr>
        <w:sectPr>
          <w:headerReference r:id="rId27" w:type="default"/>
          <w:footerReference r:id="rId28" w:type="default"/>
          <w:pgSz w:w="11907" w:h="16840"/>
          <w:pgMar w:top="1103" w:right="1572" w:bottom="1200" w:left="1303" w:header="854" w:footer="996" w:gutter="0"/>
          <w:cols w:space="720" w:num="1"/>
        </w:sectPr>
      </w:pPr>
    </w:p>
    <w:p w14:paraId="6B193A0B">
      <w:pPr>
        <w:spacing w:before="67" w:line="219" w:lineRule="auto"/>
        <w:ind w:left="512"/>
        <w:outlineLvl w:val="1"/>
        <w:rPr>
          <w:rFonts w:ascii="宋体" w:hAnsi="宋体" w:eastAsia="宋体" w:cs="宋体"/>
          <w:sz w:val="24"/>
          <w:szCs w:val="24"/>
          <w:highlight w:val="none"/>
        </w:rPr>
      </w:pPr>
      <w:bookmarkStart w:id="60" w:name="bookmark58"/>
      <w:bookmarkEnd w:id="60"/>
      <w:r>
        <w:rPr>
          <w:rFonts w:ascii="宋体" w:hAnsi="宋体" w:eastAsia="宋体" w:cs="宋体"/>
          <w:spacing w:val="-6"/>
          <w:sz w:val="24"/>
          <w:szCs w:val="24"/>
          <w:highlight w:val="none"/>
        </w:rPr>
        <w:t>四、商务部分</w:t>
      </w:r>
    </w:p>
    <w:p w14:paraId="38D63EB8">
      <w:pPr>
        <w:spacing w:before="286" w:line="219" w:lineRule="auto"/>
        <w:ind w:left="501"/>
        <w:outlineLvl w:val="2"/>
        <w:rPr>
          <w:rFonts w:ascii="宋体" w:hAnsi="宋体" w:eastAsia="宋体" w:cs="宋体"/>
          <w:sz w:val="24"/>
          <w:szCs w:val="24"/>
          <w:highlight w:val="none"/>
        </w:rPr>
      </w:pPr>
      <w:r>
        <w:rPr>
          <w:rFonts w:ascii="宋体" w:hAnsi="宋体" w:eastAsia="宋体" w:cs="宋体"/>
          <w:spacing w:val="-1"/>
          <w:sz w:val="24"/>
          <w:szCs w:val="24"/>
          <w:highlight w:val="none"/>
        </w:rPr>
        <w:t>（一）商务要求响应情况：实施时间、地点及验收方式等（格式自定）</w:t>
      </w:r>
    </w:p>
    <w:p w14:paraId="018032D6">
      <w:pPr>
        <w:spacing w:line="219" w:lineRule="auto"/>
        <w:rPr>
          <w:rFonts w:ascii="宋体" w:hAnsi="宋体" w:eastAsia="宋体" w:cs="宋体"/>
          <w:sz w:val="24"/>
          <w:szCs w:val="24"/>
          <w:highlight w:val="none"/>
        </w:rPr>
        <w:sectPr>
          <w:footerReference r:id="rId29" w:type="default"/>
          <w:pgSz w:w="11907" w:h="16840"/>
          <w:pgMar w:top="1103" w:right="1572" w:bottom="1200" w:left="1303" w:header="854" w:footer="996" w:gutter="0"/>
          <w:cols w:space="720" w:num="1"/>
        </w:sectPr>
      </w:pPr>
    </w:p>
    <w:p w14:paraId="45540090">
      <w:pPr>
        <w:spacing w:before="67" w:line="219" w:lineRule="auto"/>
        <w:ind w:left="504"/>
        <w:rPr>
          <w:rFonts w:ascii="宋体" w:hAnsi="宋体" w:eastAsia="宋体" w:cs="宋体"/>
          <w:sz w:val="24"/>
          <w:szCs w:val="24"/>
          <w:highlight w:val="none"/>
        </w:rPr>
      </w:pPr>
      <w:r>
        <w:rPr>
          <w:rFonts w:ascii="宋体" w:hAnsi="宋体" w:eastAsia="宋体" w:cs="宋体"/>
          <w:spacing w:val="-3"/>
          <w:sz w:val="24"/>
          <w:szCs w:val="24"/>
          <w:highlight w:val="none"/>
        </w:rPr>
        <w:t>（二）商务响应偏离表</w:t>
      </w:r>
    </w:p>
    <w:p w14:paraId="1E458876">
      <w:pPr>
        <w:spacing w:before="180" w:line="219" w:lineRule="auto"/>
        <w:ind w:left="3879"/>
        <w:rPr>
          <w:rFonts w:ascii="宋体" w:hAnsi="宋体" w:eastAsia="宋体" w:cs="宋体"/>
          <w:sz w:val="24"/>
          <w:szCs w:val="24"/>
          <w:highlight w:val="none"/>
        </w:rPr>
      </w:pPr>
      <w:r>
        <w:rPr>
          <w:rFonts w:ascii="宋体" w:hAnsi="宋体" w:eastAsia="宋体" w:cs="宋体"/>
          <w:b/>
          <w:bCs/>
          <w:spacing w:val="-4"/>
          <w:sz w:val="24"/>
          <w:szCs w:val="24"/>
          <w:highlight w:val="none"/>
        </w:rPr>
        <w:t>商务响应偏离表</w:t>
      </w:r>
    </w:p>
    <w:p w14:paraId="08A71A34">
      <w:pPr>
        <w:spacing w:before="262" w:line="229" w:lineRule="auto"/>
        <w:ind w:left="253" w:right="7983" w:firstLine="123"/>
        <w:rPr>
          <w:rFonts w:ascii="宋体" w:hAnsi="宋体" w:eastAsia="宋体" w:cs="宋体"/>
          <w:sz w:val="24"/>
          <w:szCs w:val="24"/>
          <w:highlight w:val="none"/>
        </w:rPr>
      </w:pPr>
      <w:r>
        <w:rPr>
          <w:rFonts w:ascii="宋体" w:hAnsi="宋体" w:eastAsia="宋体" w:cs="宋体"/>
          <w:spacing w:val="-15"/>
          <w:sz w:val="24"/>
          <w:szCs w:val="24"/>
          <w:highlight w:val="none"/>
        </w:rPr>
        <w:t>项目名称：</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包号：</w:t>
      </w:r>
    </w:p>
    <w:tbl>
      <w:tblPr>
        <w:tblStyle w:val="6"/>
        <w:tblW w:w="94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177"/>
        <w:gridCol w:w="2433"/>
        <w:gridCol w:w="2358"/>
      </w:tblGrid>
      <w:tr w14:paraId="23AB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14" w:type="dxa"/>
            <w:vAlign w:val="top"/>
          </w:tcPr>
          <w:p w14:paraId="0F194203">
            <w:pPr>
              <w:pStyle w:val="7"/>
              <w:spacing w:before="190" w:line="221" w:lineRule="auto"/>
              <w:ind w:left="581"/>
              <w:rPr>
                <w:sz w:val="24"/>
                <w:szCs w:val="24"/>
                <w:highlight w:val="none"/>
              </w:rPr>
            </w:pPr>
            <w:r>
              <w:rPr>
                <w:spacing w:val="-5"/>
                <w:sz w:val="24"/>
                <w:szCs w:val="24"/>
                <w:highlight w:val="none"/>
              </w:rPr>
              <w:t>序号</w:t>
            </w:r>
          </w:p>
        </w:tc>
        <w:tc>
          <w:tcPr>
            <w:tcW w:w="3177" w:type="dxa"/>
            <w:vAlign w:val="top"/>
          </w:tcPr>
          <w:p w14:paraId="6E802ABD">
            <w:pPr>
              <w:pStyle w:val="7"/>
              <w:spacing w:before="191" w:line="219" w:lineRule="auto"/>
              <w:ind w:left="878"/>
              <w:outlineLvl w:val="0"/>
              <w:rPr>
                <w:sz w:val="24"/>
                <w:szCs w:val="24"/>
                <w:highlight w:val="none"/>
              </w:rPr>
            </w:pPr>
            <w:r>
              <w:rPr>
                <w:spacing w:val="-3"/>
                <w:sz w:val="24"/>
                <w:szCs w:val="24"/>
                <w:highlight w:val="none"/>
              </w:rPr>
              <w:t>项目商务需求</w:t>
            </w:r>
          </w:p>
        </w:tc>
        <w:tc>
          <w:tcPr>
            <w:tcW w:w="2433" w:type="dxa"/>
            <w:vAlign w:val="top"/>
          </w:tcPr>
          <w:p w14:paraId="2B3D0FCA">
            <w:pPr>
              <w:pStyle w:val="7"/>
              <w:spacing w:before="190" w:line="220" w:lineRule="auto"/>
              <w:ind w:left="755"/>
              <w:outlineLvl w:val="0"/>
              <w:rPr>
                <w:sz w:val="24"/>
                <w:szCs w:val="24"/>
                <w:highlight w:val="none"/>
              </w:rPr>
            </w:pPr>
            <w:r>
              <w:rPr>
                <w:spacing w:val="-6"/>
                <w:sz w:val="24"/>
                <w:szCs w:val="24"/>
                <w:highlight w:val="none"/>
              </w:rPr>
              <w:t>响应情况</w:t>
            </w:r>
          </w:p>
        </w:tc>
        <w:tc>
          <w:tcPr>
            <w:tcW w:w="2358" w:type="dxa"/>
            <w:vAlign w:val="top"/>
          </w:tcPr>
          <w:p w14:paraId="7332618D">
            <w:pPr>
              <w:pStyle w:val="7"/>
              <w:spacing w:before="191" w:line="219" w:lineRule="auto"/>
              <w:ind w:left="705"/>
              <w:outlineLvl w:val="0"/>
              <w:rPr>
                <w:sz w:val="24"/>
                <w:szCs w:val="24"/>
                <w:highlight w:val="none"/>
              </w:rPr>
            </w:pPr>
            <w:r>
              <w:rPr>
                <w:spacing w:val="-3"/>
                <w:sz w:val="24"/>
                <w:szCs w:val="24"/>
                <w:highlight w:val="none"/>
              </w:rPr>
              <w:t>偏离说明</w:t>
            </w:r>
          </w:p>
        </w:tc>
      </w:tr>
      <w:tr w14:paraId="73D46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04C135DB">
            <w:pPr>
              <w:rPr>
                <w:rFonts w:ascii="Arial"/>
                <w:sz w:val="21"/>
                <w:highlight w:val="none"/>
              </w:rPr>
            </w:pPr>
          </w:p>
        </w:tc>
        <w:tc>
          <w:tcPr>
            <w:tcW w:w="3177" w:type="dxa"/>
            <w:vAlign w:val="top"/>
          </w:tcPr>
          <w:p w14:paraId="11C68E89">
            <w:pPr>
              <w:rPr>
                <w:rFonts w:ascii="Arial"/>
                <w:sz w:val="21"/>
                <w:highlight w:val="none"/>
              </w:rPr>
            </w:pPr>
          </w:p>
        </w:tc>
        <w:tc>
          <w:tcPr>
            <w:tcW w:w="2433" w:type="dxa"/>
            <w:vAlign w:val="top"/>
          </w:tcPr>
          <w:p w14:paraId="734BE299">
            <w:pPr>
              <w:rPr>
                <w:rFonts w:ascii="Arial"/>
                <w:sz w:val="21"/>
                <w:highlight w:val="none"/>
              </w:rPr>
            </w:pPr>
          </w:p>
        </w:tc>
        <w:tc>
          <w:tcPr>
            <w:tcW w:w="2358" w:type="dxa"/>
            <w:vAlign w:val="top"/>
          </w:tcPr>
          <w:p w14:paraId="75789F4F">
            <w:pPr>
              <w:rPr>
                <w:rFonts w:ascii="Arial"/>
                <w:sz w:val="21"/>
                <w:highlight w:val="none"/>
              </w:rPr>
            </w:pPr>
          </w:p>
        </w:tc>
      </w:tr>
      <w:tr w14:paraId="4626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3F8CE9CF">
            <w:pPr>
              <w:rPr>
                <w:rFonts w:ascii="Arial"/>
                <w:sz w:val="21"/>
                <w:highlight w:val="none"/>
              </w:rPr>
            </w:pPr>
          </w:p>
        </w:tc>
        <w:tc>
          <w:tcPr>
            <w:tcW w:w="3177" w:type="dxa"/>
            <w:vAlign w:val="top"/>
          </w:tcPr>
          <w:p w14:paraId="39001232">
            <w:pPr>
              <w:rPr>
                <w:rFonts w:ascii="Arial"/>
                <w:sz w:val="21"/>
                <w:highlight w:val="none"/>
              </w:rPr>
            </w:pPr>
          </w:p>
        </w:tc>
        <w:tc>
          <w:tcPr>
            <w:tcW w:w="2433" w:type="dxa"/>
            <w:vAlign w:val="top"/>
          </w:tcPr>
          <w:p w14:paraId="674C9BC2">
            <w:pPr>
              <w:rPr>
                <w:rFonts w:ascii="Arial"/>
                <w:sz w:val="21"/>
                <w:highlight w:val="none"/>
              </w:rPr>
            </w:pPr>
          </w:p>
        </w:tc>
        <w:tc>
          <w:tcPr>
            <w:tcW w:w="2358" w:type="dxa"/>
            <w:vAlign w:val="top"/>
          </w:tcPr>
          <w:p w14:paraId="10EE3B52">
            <w:pPr>
              <w:rPr>
                <w:rFonts w:ascii="Arial"/>
                <w:sz w:val="21"/>
                <w:highlight w:val="none"/>
              </w:rPr>
            </w:pPr>
          </w:p>
        </w:tc>
      </w:tr>
      <w:tr w14:paraId="7EB9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4F6B06B6">
            <w:pPr>
              <w:rPr>
                <w:rFonts w:ascii="Arial"/>
                <w:sz w:val="21"/>
                <w:highlight w:val="none"/>
              </w:rPr>
            </w:pPr>
          </w:p>
        </w:tc>
        <w:tc>
          <w:tcPr>
            <w:tcW w:w="3177" w:type="dxa"/>
            <w:vAlign w:val="top"/>
          </w:tcPr>
          <w:p w14:paraId="6C75CE47">
            <w:pPr>
              <w:rPr>
                <w:rFonts w:ascii="Arial"/>
                <w:sz w:val="21"/>
                <w:highlight w:val="none"/>
              </w:rPr>
            </w:pPr>
          </w:p>
        </w:tc>
        <w:tc>
          <w:tcPr>
            <w:tcW w:w="2433" w:type="dxa"/>
            <w:vAlign w:val="top"/>
          </w:tcPr>
          <w:p w14:paraId="46E0548E">
            <w:pPr>
              <w:rPr>
                <w:rFonts w:ascii="Arial"/>
                <w:sz w:val="21"/>
                <w:highlight w:val="none"/>
              </w:rPr>
            </w:pPr>
          </w:p>
        </w:tc>
        <w:tc>
          <w:tcPr>
            <w:tcW w:w="2358" w:type="dxa"/>
            <w:vAlign w:val="top"/>
          </w:tcPr>
          <w:p w14:paraId="72E11CB4">
            <w:pPr>
              <w:rPr>
                <w:rFonts w:ascii="Arial"/>
                <w:sz w:val="21"/>
                <w:highlight w:val="none"/>
              </w:rPr>
            </w:pPr>
          </w:p>
        </w:tc>
      </w:tr>
      <w:tr w14:paraId="288E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14" w:type="dxa"/>
            <w:vAlign w:val="top"/>
          </w:tcPr>
          <w:p w14:paraId="6AF22AEF">
            <w:pPr>
              <w:rPr>
                <w:rFonts w:ascii="Arial"/>
                <w:sz w:val="21"/>
                <w:highlight w:val="none"/>
              </w:rPr>
            </w:pPr>
          </w:p>
        </w:tc>
        <w:tc>
          <w:tcPr>
            <w:tcW w:w="3177" w:type="dxa"/>
            <w:vAlign w:val="top"/>
          </w:tcPr>
          <w:p w14:paraId="3CFCD284">
            <w:pPr>
              <w:rPr>
                <w:rFonts w:ascii="Arial"/>
                <w:sz w:val="21"/>
                <w:highlight w:val="none"/>
              </w:rPr>
            </w:pPr>
          </w:p>
        </w:tc>
        <w:tc>
          <w:tcPr>
            <w:tcW w:w="2433" w:type="dxa"/>
            <w:vAlign w:val="top"/>
          </w:tcPr>
          <w:p w14:paraId="62CECE7D">
            <w:pPr>
              <w:rPr>
                <w:rFonts w:ascii="Arial"/>
                <w:sz w:val="21"/>
                <w:highlight w:val="none"/>
              </w:rPr>
            </w:pPr>
          </w:p>
        </w:tc>
        <w:tc>
          <w:tcPr>
            <w:tcW w:w="2358" w:type="dxa"/>
            <w:vAlign w:val="top"/>
          </w:tcPr>
          <w:p w14:paraId="16F000E8">
            <w:pPr>
              <w:rPr>
                <w:rFonts w:ascii="Arial"/>
                <w:sz w:val="21"/>
                <w:highlight w:val="none"/>
              </w:rPr>
            </w:pPr>
          </w:p>
        </w:tc>
      </w:tr>
      <w:tr w14:paraId="5D0BB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514" w:type="dxa"/>
            <w:vAlign w:val="top"/>
          </w:tcPr>
          <w:p w14:paraId="1F08F522">
            <w:pPr>
              <w:rPr>
                <w:rFonts w:ascii="Arial"/>
                <w:sz w:val="21"/>
                <w:highlight w:val="none"/>
              </w:rPr>
            </w:pPr>
          </w:p>
        </w:tc>
        <w:tc>
          <w:tcPr>
            <w:tcW w:w="3177" w:type="dxa"/>
            <w:vAlign w:val="top"/>
          </w:tcPr>
          <w:p w14:paraId="31593969">
            <w:pPr>
              <w:rPr>
                <w:rFonts w:ascii="Arial"/>
                <w:sz w:val="21"/>
                <w:highlight w:val="none"/>
              </w:rPr>
            </w:pPr>
          </w:p>
        </w:tc>
        <w:tc>
          <w:tcPr>
            <w:tcW w:w="2433" w:type="dxa"/>
            <w:vAlign w:val="top"/>
          </w:tcPr>
          <w:p w14:paraId="78AEA5EF">
            <w:pPr>
              <w:rPr>
                <w:rFonts w:ascii="Arial"/>
                <w:sz w:val="21"/>
                <w:highlight w:val="none"/>
              </w:rPr>
            </w:pPr>
          </w:p>
        </w:tc>
        <w:tc>
          <w:tcPr>
            <w:tcW w:w="2358" w:type="dxa"/>
            <w:vAlign w:val="top"/>
          </w:tcPr>
          <w:p w14:paraId="29A3208D">
            <w:pPr>
              <w:rPr>
                <w:rFonts w:ascii="Arial"/>
                <w:sz w:val="21"/>
                <w:highlight w:val="none"/>
              </w:rPr>
            </w:pPr>
          </w:p>
        </w:tc>
      </w:tr>
      <w:tr w14:paraId="6FBF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514" w:type="dxa"/>
            <w:vAlign w:val="top"/>
          </w:tcPr>
          <w:p w14:paraId="1801A189">
            <w:pPr>
              <w:rPr>
                <w:rFonts w:ascii="Arial"/>
                <w:sz w:val="21"/>
                <w:highlight w:val="none"/>
              </w:rPr>
            </w:pPr>
          </w:p>
        </w:tc>
        <w:tc>
          <w:tcPr>
            <w:tcW w:w="3177" w:type="dxa"/>
            <w:vAlign w:val="top"/>
          </w:tcPr>
          <w:p w14:paraId="056FBC74">
            <w:pPr>
              <w:rPr>
                <w:rFonts w:ascii="Arial"/>
                <w:sz w:val="21"/>
                <w:highlight w:val="none"/>
              </w:rPr>
            </w:pPr>
          </w:p>
        </w:tc>
        <w:tc>
          <w:tcPr>
            <w:tcW w:w="2433" w:type="dxa"/>
            <w:vAlign w:val="top"/>
          </w:tcPr>
          <w:p w14:paraId="71C7ECC6">
            <w:pPr>
              <w:rPr>
                <w:rFonts w:ascii="Arial"/>
                <w:sz w:val="21"/>
                <w:highlight w:val="none"/>
              </w:rPr>
            </w:pPr>
          </w:p>
        </w:tc>
        <w:tc>
          <w:tcPr>
            <w:tcW w:w="2358" w:type="dxa"/>
            <w:vAlign w:val="top"/>
          </w:tcPr>
          <w:p w14:paraId="0F8B91BE">
            <w:pPr>
              <w:rPr>
                <w:rFonts w:ascii="Arial"/>
                <w:sz w:val="21"/>
                <w:highlight w:val="none"/>
              </w:rPr>
            </w:pPr>
          </w:p>
        </w:tc>
      </w:tr>
    </w:tbl>
    <w:p w14:paraId="29E36AC0">
      <w:pPr>
        <w:pStyle w:val="2"/>
        <w:spacing w:line="289" w:lineRule="auto"/>
        <w:rPr>
          <w:highlight w:val="none"/>
        </w:rPr>
      </w:pPr>
    </w:p>
    <w:p w14:paraId="63ABD95C">
      <w:pPr>
        <w:pStyle w:val="2"/>
        <w:spacing w:line="289" w:lineRule="auto"/>
        <w:rPr>
          <w:highlight w:val="none"/>
        </w:rPr>
      </w:pPr>
    </w:p>
    <w:p w14:paraId="7FEAC2D9">
      <w:pPr>
        <w:spacing w:before="78" w:line="219" w:lineRule="auto"/>
        <w:ind w:left="613"/>
        <w:rPr>
          <w:rFonts w:ascii="宋体" w:hAnsi="宋体" w:eastAsia="宋体" w:cs="宋体"/>
          <w:sz w:val="24"/>
          <w:szCs w:val="24"/>
          <w:highlight w:val="none"/>
        </w:rPr>
      </w:pPr>
      <w:r>
        <w:rPr>
          <w:rFonts w:ascii="宋体" w:hAnsi="宋体" w:eastAsia="宋体" w:cs="宋体"/>
          <w:sz w:val="24"/>
          <w:szCs w:val="24"/>
          <w:highlight w:val="none"/>
        </w:rPr>
        <w:t xml:space="preserve">供应商：                                      </w:t>
      </w:r>
      <w:r>
        <w:rPr>
          <w:rFonts w:ascii="宋体" w:hAnsi="宋体" w:eastAsia="宋体" w:cs="宋体"/>
          <w:spacing w:val="-1"/>
          <w:sz w:val="24"/>
          <w:szCs w:val="24"/>
          <w:highlight w:val="none"/>
        </w:rPr>
        <w:t>法定代表人或授权代表：</w:t>
      </w:r>
    </w:p>
    <w:p w14:paraId="684D15DE">
      <w:pPr>
        <w:pStyle w:val="2"/>
        <w:spacing w:line="317" w:lineRule="auto"/>
        <w:rPr>
          <w:highlight w:val="none"/>
        </w:rPr>
      </w:pPr>
    </w:p>
    <w:p w14:paraId="5663132F">
      <w:pPr>
        <w:pStyle w:val="2"/>
        <w:spacing w:line="317" w:lineRule="auto"/>
        <w:rPr>
          <w:highlight w:val="none"/>
        </w:rPr>
      </w:pPr>
    </w:p>
    <w:p w14:paraId="7AFBF6E6">
      <w:pPr>
        <w:spacing w:before="78" w:line="219" w:lineRule="auto"/>
        <w:ind w:left="384"/>
        <w:rPr>
          <w:rFonts w:ascii="宋体" w:hAnsi="宋体" w:eastAsia="宋体" w:cs="宋体"/>
          <w:sz w:val="24"/>
          <w:szCs w:val="24"/>
          <w:highlight w:val="none"/>
        </w:rPr>
      </w:pPr>
      <w:r>
        <w:rPr>
          <w:rFonts w:ascii="宋体" w:hAnsi="宋体" w:eastAsia="宋体" w:cs="宋体"/>
          <w:spacing w:val="1"/>
          <w:sz w:val="24"/>
          <w:szCs w:val="24"/>
          <w:highlight w:val="none"/>
        </w:rPr>
        <w:t>（供应商公章</w:t>
      </w:r>
      <w:r>
        <w:rPr>
          <w:rFonts w:ascii="宋体" w:hAnsi="宋体" w:eastAsia="宋体" w:cs="宋体"/>
          <w:spacing w:val="-17"/>
          <w:sz w:val="24"/>
          <w:szCs w:val="24"/>
          <w:highlight w:val="none"/>
        </w:rPr>
        <w:t>）</w:t>
      </w:r>
      <w:r>
        <w:rPr>
          <w:rFonts w:ascii="宋体" w:hAnsi="宋体" w:eastAsia="宋体" w:cs="宋体"/>
          <w:spacing w:val="4"/>
          <w:sz w:val="24"/>
          <w:szCs w:val="24"/>
          <w:highlight w:val="none"/>
        </w:rPr>
        <w:t xml:space="preserve">                       </w:t>
      </w:r>
      <w:r>
        <w:rPr>
          <w:rFonts w:ascii="宋体" w:hAnsi="宋体" w:eastAsia="宋体" w:cs="宋体"/>
          <w:spacing w:val="3"/>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1"/>
          <w:sz w:val="24"/>
          <w:szCs w:val="24"/>
          <w:highlight w:val="none"/>
        </w:rPr>
        <w:t>签字或盖章）</w:t>
      </w:r>
    </w:p>
    <w:p w14:paraId="75385746">
      <w:pPr>
        <w:spacing w:before="216" w:line="219" w:lineRule="auto"/>
        <w:ind w:left="5865"/>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spacing w:val="-9"/>
          <w:sz w:val="24"/>
          <w:szCs w:val="24"/>
          <w:highlight w:val="none"/>
        </w:rPr>
        <w:t>日</w:t>
      </w:r>
    </w:p>
    <w:p w14:paraId="55B7BB12">
      <w:pPr>
        <w:spacing w:before="134" w:line="224" w:lineRule="auto"/>
        <w:ind w:left="493"/>
        <w:rPr>
          <w:rFonts w:ascii="宋体" w:hAnsi="宋体" w:eastAsia="宋体" w:cs="宋体"/>
          <w:sz w:val="24"/>
          <w:szCs w:val="24"/>
          <w:highlight w:val="none"/>
        </w:rPr>
      </w:pPr>
      <w:r>
        <w:rPr>
          <w:rFonts w:ascii="宋体" w:hAnsi="宋体" w:eastAsia="宋体" w:cs="宋体"/>
          <w:spacing w:val="-5"/>
          <w:sz w:val="24"/>
          <w:szCs w:val="24"/>
          <w:highlight w:val="none"/>
        </w:rPr>
        <w:t>注：</w:t>
      </w:r>
    </w:p>
    <w:p w14:paraId="36C5AADE">
      <w:pPr>
        <w:spacing w:before="110" w:line="219" w:lineRule="auto"/>
        <w:ind w:left="511"/>
        <w:rPr>
          <w:rFonts w:ascii="宋体" w:hAnsi="宋体" w:eastAsia="宋体" w:cs="宋体"/>
          <w:sz w:val="24"/>
          <w:szCs w:val="24"/>
          <w:highlight w:val="none"/>
        </w:rPr>
      </w:pPr>
      <w:r>
        <w:rPr>
          <w:rFonts w:ascii="宋体" w:hAnsi="宋体" w:eastAsia="宋体" w:cs="宋体"/>
          <w:spacing w:val="-2"/>
          <w:sz w:val="24"/>
          <w:szCs w:val="24"/>
          <w:highlight w:val="none"/>
        </w:rPr>
        <w:t>1.本表即为对本项目“第三篇</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”中所列要求进行比</w:t>
      </w:r>
      <w:r>
        <w:rPr>
          <w:rFonts w:ascii="宋体" w:hAnsi="宋体" w:eastAsia="宋体" w:cs="宋体"/>
          <w:spacing w:val="-3"/>
          <w:sz w:val="24"/>
          <w:szCs w:val="24"/>
          <w:highlight w:val="none"/>
        </w:rPr>
        <w:t>较和响应；</w:t>
      </w:r>
    </w:p>
    <w:p w14:paraId="1BD12E19">
      <w:pPr>
        <w:spacing w:before="117" w:line="293" w:lineRule="auto"/>
        <w:ind w:left="18" w:right="123" w:firstLine="478"/>
        <w:rPr>
          <w:rFonts w:ascii="宋体" w:hAnsi="宋体" w:eastAsia="宋体" w:cs="宋体"/>
          <w:sz w:val="24"/>
          <w:szCs w:val="24"/>
          <w:highlight w:val="none"/>
        </w:rPr>
      </w:pPr>
      <w:r>
        <w:rPr>
          <w:rFonts w:ascii="宋体" w:hAnsi="宋体" w:eastAsia="宋体" w:cs="宋体"/>
          <w:spacing w:val="-1"/>
          <w:sz w:val="24"/>
          <w:szCs w:val="24"/>
          <w:highlight w:val="none"/>
        </w:rPr>
        <w:t>2.该表必须按照竞争性比选要求逐条如实填写，根据响应情况在“</w:t>
      </w:r>
      <w:r>
        <w:rPr>
          <w:rFonts w:ascii="宋体" w:hAnsi="宋体" w:eastAsia="宋体" w:cs="宋体"/>
          <w:spacing w:val="-2"/>
          <w:sz w:val="24"/>
          <w:szCs w:val="24"/>
          <w:highlight w:val="none"/>
        </w:rPr>
        <w:t>差异说明</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”项填写</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正偏离或负偏离及原因，完全符合的填写“无差异</w:t>
      </w:r>
      <w:r>
        <w:rPr>
          <w:rFonts w:ascii="宋体" w:hAnsi="宋体" w:eastAsia="宋体" w:cs="宋体"/>
          <w:spacing w:val="-82"/>
          <w:sz w:val="24"/>
          <w:szCs w:val="24"/>
          <w:highlight w:val="none"/>
        </w:rPr>
        <w:t xml:space="preserve"> </w:t>
      </w:r>
      <w:r>
        <w:rPr>
          <w:rFonts w:ascii="宋体" w:hAnsi="宋体" w:eastAsia="宋体" w:cs="宋体"/>
          <w:spacing w:val="-1"/>
          <w:sz w:val="24"/>
          <w:szCs w:val="24"/>
          <w:highlight w:val="none"/>
        </w:rPr>
        <w:t>”；</w:t>
      </w:r>
    </w:p>
    <w:p w14:paraId="598BC0C8">
      <w:pPr>
        <w:spacing w:before="36"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3.该表可扩展，并逐页签字或盖章。</w:t>
      </w:r>
    </w:p>
    <w:p w14:paraId="7DDA1D50">
      <w:pPr>
        <w:spacing w:line="219" w:lineRule="auto"/>
        <w:rPr>
          <w:rFonts w:ascii="宋体" w:hAnsi="宋体" w:eastAsia="宋体" w:cs="宋体"/>
          <w:sz w:val="24"/>
          <w:szCs w:val="24"/>
          <w:highlight w:val="none"/>
        </w:rPr>
        <w:sectPr>
          <w:headerReference r:id="rId30" w:type="default"/>
          <w:footerReference r:id="rId31" w:type="default"/>
          <w:pgSz w:w="11907" w:h="16840"/>
          <w:pgMar w:top="1103" w:right="1120" w:bottom="1200" w:left="1299" w:header="854" w:footer="996" w:gutter="0"/>
          <w:cols w:space="720" w:num="1"/>
        </w:sectPr>
      </w:pPr>
    </w:p>
    <w:p w14:paraId="6854893F">
      <w:pPr>
        <w:spacing w:before="66" w:line="219"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（三）商务评审需提供的材料（格式自定）</w:t>
      </w:r>
    </w:p>
    <w:p w14:paraId="453B2F96">
      <w:pPr>
        <w:spacing w:line="219" w:lineRule="auto"/>
        <w:rPr>
          <w:rFonts w:ascii="宋体" w:hAnsi="宋体" w:eastAsia="宋体" w:cs="宋体"/>
          <w:sz w:val="24"/>
          <w:szCs w:val="24"/>
          <w:highlight w:val="none"/>
        </w:rPr>
        <w:sectPr>
          <w:headerReference r:id="rId32" w:type="default"/>
          <w:footerReference r:id="rId33" w:type="default"/>
          <w:pgSz w:w="11907" w:h="16840"/>
          <w:pgMar w:top="1103" w:right="1678" w:bottom="1200" w:left="1303" w:header="854" w:footer="996" w:gutter="0"/>
          <w:cols w:space="720" w:num="1"/>
        </w:sectPr>
      </w:pPr>
    </w:p>
    <w:p w14:paraId="16CAA1B4">
      <w:pPr>
        <w:spacing w:before="67" w:line="219" w:lineRule="auto"/>
        <w:ind w:left="501"/>
        <w:outlineLvl w:val="1"/>
        <w:rPr>
          <w:rFonts w:ascii="宋体" w:hAnsi="宋体" w:eastAsia="宋体" w:cs="宋体"/>
          <w:sz w:val="24"/>
          <w:szCs w:val="24"/>
          <w:highlight w:val="none"/>
        </w:rPr>
      </w:pPr>
      <w:r>
        <w:rPr>
          <w:rFonts w:ascii="宋体" w:hAnsi="宋体" w:eastAsia="宋体" w:cs="宋体"/>
          <w:spacing w:val="-2"/>
          <w:sz w:val="24"/>
          <w:szCs w:val="24"/>
          <w:highlight w:val="none"/>
        </w:rPr>
        <w:t>（四）其它优惠承诺（格式自定）</w:t>
      </w:r>
    </w:p>
    <w:p w14:paraId="1C666DD5">
      <w:pPr>
        <w:spacing w:line="219" w:lineRule="auto"/>
        <w:rPr>
          <w:rFonts w:ascii="宋体" w:hAnsi="宋体" w:eastAsia="宋体" w:cs="宋体"/>
          <w:sz w:val="24"/>
          <w:szCs w:val="24"/>
          <w:highlight w:val="none"/>
        </w:rPr>
        <w:sectPr>
          <w:footerReference r:id="rId34" w:type="default"/>
          <w:pgSz w:w="11907" w:h="16840"/>
          <w:pgMar w:top="1103" w:right="1678" w:bottom="1200" w:left="1303" w:header="854" w:footer="996" w:gutter="0"/>
          <w:cols w:space="720" w:num="1"/>
        </w:sectPr>
      </w:pPr>
    </w:p>
    <w:p w14:paraId="36C9351B">
      <w:pPr>
        <w:spacing w:before="67" w:line="219" w:lineRule="auto"/>
        <w:ind w:left="495"/>
        <w:outlineLvl w:val="1"/>
        <w:rPr>
          <w:rFonts w:ascii="宋体" w:hAnsi="宋体" w:eastAsia="宋体" w:cs="宋体"/>
          <w:sz w:val="24"/>
          <w:szCs w:val="24"/>
          <w:highlight w:val="none"/>
        </w:rPr>
      </w:pPr>
      <w:bookmarkStart w:id="61" w:name="bookmark60"/>
      <w:bookmarkEnd w:id="61"/>
      <w:r>
        <w:rPr>
          <w:rFonts w:ascii="宋体" w:hAnsi="宋体" w:eastAsia="宋体" w:cs="宋体"/>
          <w:spacing w:val="-2"/>
          <w:sz w:val="24"/>
          <w:szCs w:val="24"/>
          <w:highlight w:val="none"/>
        </w:rPr>
        <w:t>五、资格条件及其他</w:t>
      </w:r>
    </w:p>
    <w:p w14:paraId="08241017">
      <w:pPr>
        <w:pStyle w:val="2"/>
        <w:spacing w:line="258" w:lineRule="auto"/>
        <w:rPr>
          <w:highlight w:val="none"/>
        </w:rPr>
      </w:pPr>
    </w:p>
    <w:p w14:paraId="6AD54EC3">
      <w:pPr>
        <w:spacing w:before="78" w:line="219" w:lineRule="auto"/>
        <w:ind w:left="592"/>
        <w:rPr>
          <w:rFonts w:ascii="宋体" w:hAnsi="宋体" w:eastAsia="宋体" w:cs="宋体"/>
          <w:sz w:val="24"/>
          <w:szCs w:val="24"/>
          <w:highlight w:val="none"/>
        </w:rPr>
      </w:pPr>
      <w:r>
        <w:rPr>
          <w:rFonts w:ascii="宋体" w:hAnsi="宋体" w:eastAsia="宋体" w:cs="宋体"/>
          <w:spacing w:val="-1"/>
          <w:sz w:val="24"/>
          <w:szCs w:val="24"/>
          <w:highlight w:val="none"/>
        </w:rPr>
        <w:t>（一）营业执照（副本）或事业单位法人证书（副本）复印件</w:t>
      </w:r>
    </w:p>
    <w:p w14:paraId="0D929670">
      <w:pPr>
        <w:spacing w:line="219" w:lineRule="auto"/>
        <w:rPr>
          <w:rFonts w:ascii="宋体" w:hAnsi="宋体" w:eastAsia="宋体" w:cs="宋体"/>
          <w:sz w:val="24"/>
          <w:szCs w:val="24"/>
          <w:highlight w:val="none"/>
        </w:rPr>
        <w:sectPr>
          <w:footerReference r:id="rId35" w:type="default"/>
          <w:pgSz w:w="11907" w:h="16840"/>
          <w:pgMar w:top="1103" w:right="1678" w:bottom="1200" w:left="1303" w:header="854" w:footer="996" w:gutter="0"/>
          <w:cols w:space="720" w:num="1"/>
        </w:sectPr>
      </w:pPr>
    </w:p>
    <w:p w14:paraId="39AD84E8">
      <w:pPr>
        <w:spacing w:before="66" w:line="219"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（二）法定代表人身份证明书（格式）</w:t>
      </w:r>
    </w:p>
    <w:p w14:paraId="4C57913C">
      <w:pPr>
        <w:pStyle w:val="2"/>
        <w:spacing w:line="301" w:lineRule="auto"/>
        <w:rPr>
          <w:highlight w:val="none"/>
        </w:rPr>
      </w:pPr>
    </w:p>
    <w:p w14:paraId="062AAC7F">
      <w:pPr>
        <w:pStyle w:val="2"/>
        <w:spacing w:line="302" w:lineRule="auto"/>
        <w:rPr>
          <w:highlight w:val="none"/>
        </w:rPr>
      </w:pPr>
    </w:p>
    <w:p w14:paraId="41F488B6">
      <w:pPr>
        <w:spacing w:before="78" w:line="220" w:lineRule="auto"/>
        <w:ind w:left="584"/>
        <w:rPr>
          <w:rFonts w:ascii="宋体" w:hAnsi="宋体" w:eastAsia="宋体" w:cs="宋体"/>
          <w:sz w:val="24"/>
          <w:szCs w:val="24"/>
          <w:highlight w:val="none"/>
        </w:rPr>
      </w:pPr>
      <w:r>
        <w:rPr>
          <w:rFonts w:ascii="宋体" w:hAnsi="宋体" w:eastAsia="宋体" w:cs="宋体"/>
          <w:spacing w:val="-2"/>
          <w:sz w:val="24"/>
          <w:szCs w:val="24"/>
          <w:highlight w:val="none"/>
        </w:rPr>
        <w:t>项目名称：</w:t>
      </w:r>
      <w:r>
        <w:rPr>
          <w:rFonts w:ascii="宋体" w:hAnsi="宋体" w:eastAsia="宋体" w:cs="宋体"/>
          <w:spacing w:val="-2"/>
          <w:sz w:val="24"/>
          <w:szCs w:val="24"/>
          <w:highlight w:val="none"/>
          <w:u w:val="single" w:color="auto"/>
        </w:rPr>
        <w:t xml:space="preserve">                      </w:t>
      </w:r>
      <w:r>
        <w:rPr>
          <w:rFonts w:ascii="宋体" w:hAnsi="宋体" w:eastAsia="宋体" w:cs="宋体"/>
          <w:spacing w:val="-3"/>
          <w:sz w:val="24"/>
          <w:szCs w:val="24"/>
          <w:highlight w:val="none"/>
          <w:u w:val="single" w:color="auto"/>
        </w:rPr>
        <w:t xml:space="preserve">                           </w:t>
      </w:r>
    </w:p>
    <w:p w14:paraId="5A58D91C">
      <w:pPr>
        <w:pStyle w:val="2"/>
        <w:spacing w:line="316" w:lineRule="auto"/>
        <w:rPr>
          <w:highlight w:val="none"/>
        </w:rPr>
      </w:pPr>
    </w:p>
    <w:p w14:paraId="279E413E">
      <w:pPr>
        <w:pStyle w:val="2"/>
        <w:spacing w:line="316" w:lineRule="auto"/>
        <w:rPr>
          <w:highlight w:val="none"/>
        </w:rPr>
      </w:pPr>
    </w:p>
    <w:p w14:paraId="77A1FA68">
      <w:pPr>
        <w:spacing w:before="78" w:line="219" w:lineRule="auto"/>
        <w:ind w:left="580"/>
        <w:rPr>
          <w:rFonts w:ascii="宋体" w:hAnsi="宋体" w:eastAsia="宋体" w:cs="宋体"/>
          <w:sz w:val="24"/>
          <w:szCs w:val="24"/>
          <w:highlight w:val="none"/>
        </w:rPr>
      </w:pPr>
      <w:r>
        <w:rPr>
          <w:rFonts w:ascii="宋体" w:hAnsi="宋体" w:eastAsia="宋体" w:cs="宋体"/>
          <w:spacing w:val="6"/>
          <w:sz w:val="24"/>
          <w:szCs w:val="24"/>
          <w:highlight w:val="none"/>
        </w:rPr>
        <w:t>致</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6"/>
          <w:sz w:val="24"/>
          <w:szCs w:val="24"/>
          <w:highlight w:val="none"/>
        </w:rPr>
        <w:t>采购代理机构名称</w:t>
      </w:r>
      <w:r>
        <w:rPr>
          <w:rFonts w:ascii="宋体" w:hAnsi="宋体" w:eastAsia="宋体" w:cs="宋体"/>
          <w:spacing w:val="-17"/>
          <w:sz w:val="24"/>
          <w:szCs w:val="24"/>
          <w:highlight w:val="none"/>
        </w:rPr>
        <w:t>）：</w:t>
      </w:r>
    </w:p>
    <w:p w14:paraId="01604B02">
      <w:pPr>
        <w:tabs>
          <w:tab w:val="left" w:pos="1530"/>
        </w:tabs>
        <w:spacing w:before="215" w:line="370" w:lineRule="auto"/>
        <w:ind w:left="11" w:firstLine="559"/>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7"/>
          <w:sz w:val="24"/>
          <w:szCs w:val="24"/>
          <w:highlight w:val="none"/>
        </w:rPr>
        <w:t>（法定代表人姓名）在</w:t>
      </w:r>
      <w:r>
        <w:rPr>
          <w:rFonts w:ascii="宋体" w:hAnsi="宋体" w:eastAsia="宋体" w:cs="宋体"/>
          <w:spacing w:val="5"/>
          <w:sz w:val="24"/>
          <w:szCs w:val="24"/>
          <w:highlight w:val="none"/>
          <w:u w:val="single" w:color="auto"/>
        </w:rPr>
        <w:t xml:space="preserve">                      </w:t>
      </w:r>
      <w:r>
        <w:rPr>
          <w:rFonts w:ascii="宋体" w:hAnsi="宋体" w:eastAsia="宋体" w:cs="宋体"/>
          <w:spacing w:val="-7"/>
          <w:sz w:val="24"/>
          <w:szCs w:val="24"/>
          <w:highlight w:val="none"/>
        </w:rPr>
        <w:t>（供应商名称）任</w:t>
      </w:r>
      <w:r>
        <w:rPr>
          <w:rFonts w:ascii="宋体" w:hAnsi="宋体" w:eastAsia="宋体" w:cs="宋体"/>
          <w:spacing w:val="-7"/>
          <w:sz w:val="24"/>
          <w:szCs w:val="24"/>
          <w:highlight w:val="none"/>
          <w:u w:val="single" w:color="auto"/>
        </w:rPr>
        <w:t xml:space="preserve">    </w:t>
      </w:r>
      <w:r>
        <w:rPr>
          <w:rFonts w:ascii="宋体" w:hAnsi="宋体" w:eastAsia="宋体" w:cs="宋体"/>
          <w:spacing w:val="-7"/>
          <w:sz w:val="24"/>
          <w:szCs w:val="24"/>
          <w:highlight w:val="none"/>
        </w:rPr>
        <w:t>（职</w:t>
      </w:r>
      <w:r>
        <w:rPr>
          <w:rFonts w:ascii="宋体" w:hAnsi="宋体" w:eastAsia="宋体" w:cs="宋体"/>
          <w:spacing w:val="19"/>
          <w:sz w:val="24"/>
          <w:szCs w:val="24"/>
          <w:highlight w:val="none"/>
        </w:rPr>
        <w:t xml:space="preserve"> </w:t>
      </w:r>
      <w:r>
        <w:rPr>
          <w:rFonts w:ascii="宋体" w:hAnsi="宋体" w:eastAsia="宋体" w:cs="宋体"/>
          <w:spacing w:val="-1"/>
          <w:sz w:val="24"/>
          <w:szCs w:val="24"/>
          <w:highlight w:val="none"/>
        </w:rPr>
        <w:t>务名称）职务，是（供应商名称）</w:t>
      </w:r>
      <w:r>
        <w:rPr>
          <w:rFonts w:ascii="宋体" w:hAnsi="宋体" w:eastAsia="宋体" w:cs="宋体"/>
          <w:spacing w:val="-1"/>
          <w:sz w:val="24"/>
          <w:szCs w:val="24"/>
          <w:highlight w:val="none"/>
          <w:u w:val="single" w:color="auto"/>
        </w:rPr>
        <w:t xml:space="preserve">              </w:t>
      </w:r>
      <w:r>
        <w:rPr>
          <w:rFonts w:ascii="宋体" w:hAnsi="宋体" w:eastAsia="宋体" w:cs="宋体"/>
          <w:spacing w:val="-91"/>
          <w:sz w:val="24"/>
          <w:szCs w:val="24"/>
          <w:highlight w:val="none"/>
        </w:rPr>
        <w:t xml:space="preserve"> </w:t>
      </w:r>
      <w:r>
        <w:rPr>
          <w:rFonts w:ascii="宋体" w:hAnsi="宋体" w:eastAsia="宋体" w:cs="宋体"/>
          <w:spacing w:val="-1"/>
          <w:sz w:val="24"/>
          <w:szCs w:val="24"/>
          <w:highlight w:val="none"/>
        </w:rPr>
        <w:t>的</w:t>
      </w:r>
      <w:r>
        <w:rPr>
          <w:rFonts w:ascii="宋体" w:hAnsi="宋体" w:eastAsia="宋体" w:cs="宋体"/>
          <w:spacing w:val="-2"/>
          <w:sz w:val="24"/>
          <w:szCs w:val="24"/>
          <w:highlight w:val="none"/>
        </w:rPr>
        <w:t>法定代表人。</w:t>
      </w:r>
    </w:p>
    <w:p w14:paraId="35FB913E">
      <w:pPr>
        <w:pStyle w:val="2"/>
        <w:spacing w:line="456" w:lineRule="auto"/>
        <w:rPr>
          <w:highlight w:val="none"/>
        </w:rPr>
      </w:pPr>
    </w:p>
    <w:p w14:paraId="017DBEFC">
      <w:pPr>
        <w:spacing w:before="79" w:line="219" w:lineRule="auto"/>
        <w:ind w:left="580"/>
        <w:rPr>
          <w:rFonts w:ascii="宋体" w:hAnsi="宋体" w:eastAsia="宋体" w:cs="宋体"/>
          <w:sz w:val="24"/>
          <w:szCs w:val="24"/>
          <w:highlight w:val="none"/>
        </w:rPr>
      </w:pPr>
      <w:r>
        <w:rPr>
          <w:rFonts w:ascii="宋体" w:hAnsi="宋体" w:eastAsia="宋体" w:cs="宋体"/>
          <w:spacing w:val="-2"/>
          <w:sz w:val="24"/>
          <w:szCs w:val="24"/>
          <w:highlight w:val="none"/>
        </w:rPr>
        <w:t>特此证明。</w:t>
      </w:r>
    </w:p>
    <w:p w14:paraId="4111C120">
      <w:pPr>
        <w:pStyle w:val="2"/>
        <w:spacing w:line="270" w:lineRule="auto"/>
        <w:rPr>
          <w:highlight w:val="none"/>
        </w:rPr>
      </w:pPr>
    </w:p>
    <w:p w14:paraId="181A750D">
      <w:pPr>
        <w:pStyle w:val="2"/>
        <w:spacing w:line="271" w:lineRule="auto"/>
        <w:rPr>
          <w:highlight w:val="none"/>
        </w:rPr>
      </w:pPr>
    </w:p>
    <w:p w14:paraId="7A83299E">
      <w:pPr>
        <w:pStyle w:val="2"/>
        <w:spacing w:line="271" w:lineRule="auto"/>
        <w:rPr>
          <w:highlight w:val="none"/>
        </w:rPr>
      </w:pPr>
    </w:p>
    <w:p w14:paraId="46DE6F3F">
      <w:pPr>
        <w:pStyle w:val="2"/>
        <w:spacing w:line="271" w:lineRule="auto"/>
        <w:rPr>
          <w:highlight w:val="none"/>
        </w:rPr>
      </w:pPr>
    </w:p>
    <w:p w14:paraId="53E822A1">
      <w:pPr>
        <w:pStyle w:val="2"/>
        <w:spacing w:line="271" w:lineRule="auto"/>
        <w:rPr>
          <w:highlight w:val="none"/>
        </w:rPr>
      </w:pPr>
    </w:p>
    <w:p w14:paraId="080651E0">
      <w:pPr>
        <w:pStyle w:val="2"/>
        <w:spacing w:line="271" w:lineRule="auto"/>
        <w:rPr>
          <w:highlight w:val="none"/>
        </w:rPr>
      </w:pPr>
    </w:p>
    <w:p w14:paraId="133CC098">
      <w:pPr>
        <w:spacing w:before="78" w:line="219" w:lineRule="auto"/>
        <w:ind w:left="5992"/>
        <w:rPr>
          <w:rFonts w:ascii="宋体" w:hAnsi="宋体" w:eastAsia="宋体" w:cs="宋体"/>
          <w:sz w:val="24"/>
          <w:szCs w:val="24"/>
          <w:highlight w:val="none"/>
        </w:rPr>
      </w:pPr>
      <w:r>
        <w:rPr>
          <w:rFonts w:ascii="宋体" w:hAnsi="宋体" w:eastAsia="宋体" w:cs="宋体"/>
          <w:spacing w:val="-3"/>
          <w:sz w:val="24"/>
          <w:szCs w:val="24"/>
          <w:highlight w:val="none"/>
        </w:rPr>
        <w:t>（供应商公章）</w:t>
      </w:r>
    </w:p>
    <w:p w14:paraId="53C84A72">
      <w:pPr>
        <w:pStyle w:val="2"/>
        <w:spacing w:line="317" w:lineRule="auto"/>
        <w:rPr>
          <w:highlight w:val="none"/>
        </w:rPr>
      </w:pPr>
    </w:p>
    <w:p w14:paraId="3A1D7B25">
      <w:pPr>
        <w:pStyle w:val="2"/>
        <w:spacing w:line="318" w:lineRule="auto"/>
        <w:rPr>
          <w:highlight w:val="none"/>
        </w:rPr>
      </w:pPr>
    </w:p>
    <w:p w14:paraId="1FA1A969">
      <w:pPr>
        <w:spacing w:before="78" w:line="219" w:lineRule="auto"/>
        <w:ind w:left="5981"/>
        <w:rPr>
          <w:rFonts w:ascii="宋体" w:hAnsi="宋体" w:eastAsia="宋体" w:cs="宋体"/>
          <w:sz w:val="24"/>
          <w:szCs w:val="24"/>
          <w:highlight w:val="none"/>
        </w:rPr>
      </w:pPr>
      <w:r>
        <w:rPr>
          <w:rFonts w:ascii="宋体" w:hAnsi="宋体" w:eastAsia="宋体" w:cs="宋体"/>
          <w:spacing w:val="-9"/>
          <w:sz w:val="24"/>
          <w:szCs w:val="24"/>
          <w:highlight w:val="none"/>
        </w:rPr>
        <w:t>年</w:t>
      </w:r>
      <w:r>
        <w:rPr>
          <w:rFonts w:ascii="宋体" w:hAnsi="宋体" w:eastAsia="宋体" w:cs="宋体"/>
          <w:spacing w:val="5"/>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17"/>
          <w:sz w:val="24"/>
          <w:szCs w:val="24"/>
          <w:highlight w:val="none"/>
        </w:rPr>
        <w:t xml:space="preserve">   </w:t>
      </w:r>
      <w:r>
        <w:rPr>
          <w:rFonts w:ascii="宋体" w:hAnsi="宋体" w:eastAsia="宋体" w:cs="宋体"/>
          <w:spacing w:val="-9"/>
          <w:sz w:val="24"/>
          <w:szCs w:val="24"/>
          <w:highlight w:val="none"/>
        </w:rPr>
        <w:t>日</w:t>
      </w:r>
    </w:p>
    <w:p w14:paraId="4DF15D86">
      <w:pPr>
        <w:pStyle w:val="2"/>
        <w:spacing w:line="316" w:lineRule="auto"/>
        <w:rPr>
          <w:highlight w:val="none"/>
        </w:rPr>
      </w:pPr>
    </w:p>
    <w:p w14:paraId="24803B73">
      <w:pPr>
        <w:pStyle w:val="2"/>
        <w:spacing w:line="317" w:lineRule="auto"/>
        <w:rPr>
          <w:highlight w:val="none"/>
        </w:rPr>
      </w:pPr>
    </w:p>
    <w:p w14:paraId="28832CCB">
      <w:pPr>
        <w:spacing w:before="79" w:line="219" w:lineRule="auto"/>
        <w:ind w:left="592"/>
        <w:rPr>
          <w:rFonts w:ascii="宋体" w:hAnsi="宋体" w:eastAsia="宋体" w:cs="宋体"/>
          <w:sz w:val="24"/>
          <w:szCs w:val="24"/>
          <w:highlight w:val="none"/>
        </w:rPr>
      </w:pPr>
      <w:r>
        <w:rPr>
          <w:rFonts w:ascii="宋体" w:hAnsi="宋体" w:eastAsia="宋体" w:cs="宋体"/>
          <w:spacing w:val="-2"/>
          <w:sz w:val="24"/>
          <w:szCs w:val="24"/>
          <w:highlight w:val="none"/>
        </w:rPr>
        <w:t>（附：法定代表人身份证正反面复印件）</w:t>
      </w:r>
    </w:p>
    <w:p w14:paraId="0250C57C">
      <w:pPr>
        <w:spacing w:line="219" w:lineRule="auto"/>
        <w:rPr>
          <w:rFonts w:ascii="宋体" w:hAnsi="宋体" w:eastAsia="宋体" w:cs="宋体"/>
          <w:sz w:val="24"/>
          <w:szCs w:val="24"/>
          <w:highlight w:val="none"/>
        </w:rPr>
        <w:sectPr>
          <w:headerReference r:id="rId36" w:type="default"/>
          <w:footerReference r:id="rId37" w:type="default"/>
          <w:pgSz w:w="11907" w:h="16840"/>
          <w:pgMar w:top="1103" w:right="1190" w:bottom="1200" w:left="1303" w:header="854" w:footer="996" w:gutter="0"/>
          <w:cols w:space="720" w:num="1"/>
        </w:sectPr>
      </w:pPr>
    </w:p>
    <w:p w14:paraId="45071460">
      <w:pPr>
        <w:spacing w:before="224" w:line="219" w:lineRule="auto"/>
        <w:ind w:left="592"/>
        <w:rPr>
          <w:rFonts w:ascii="宋体" w:hAnsi="宋体" w:eastAsia="宋体" w:cs="宋体"/>
          <w:sz w:val="24"/>
          <w:szCs w:val="24"/>
          <w:highlight w:val="none"/>
        </w:rPr>
      </w:pPr>
      <w:r>
        <w:rPr>
          <w:rFonts w:ascii="宋体" w:hAnsi="宋体" w:eastAsia="宋体" w:cs="宋体"/>
          <w:spacing w:val="-2"/>
          <w:sz w:val="24"/>
          <w:szCs w:val="24"/>
          <w:highlight w:val="none"/>
        </w:rPr>
        <w:t>（三）法定代表人授权委托书（格式）</w:t>
      </w:r>
    </w:p>
    <w:p w14:paraId="0262E5FE">
      <w:pPr>
        <w:pStyle w:val="2"/>
        <w:spacing w:line="317" w:lineRule="auto"/>
        <w:rPr>
          <w:highlight w:val="none"/>
        </w:rPr>
      </w:pPr>
    </w:p>
    <w:p w14:paraId="07BB7AEA">
      <w:pPr>
        <w:pStyle w:val="2"/>
        <w:spacing w:line="317" w:lineRule="auto"/>
        <w:rPr>
          <w:highlight w:val="none"/>
        </w:rPr>
      </w:pPr>
    </w:p>
    <w:p w14:paraId="2927720C">
      <w:pPr>
        <w:spacing w:before="78" w:line="220" w:lineRule="auto"/>
        <w:ind w:left="493"/>
        <w:rPr>
          <w:rFonts w:ascii="宋体" w:hAnsi="宋体" w:eastAsia="宋体" w:cs="宋体"/>
          <w:sz w:val="24"/>
          <w:szCs w:val="24"/>
          <w:highlight w:val="none"/>
        </w:rPr>
      </w:pPr>
      <w:r>
        <w:rPr>
          <w:rFonts w:ascii="宋体" w:hAnsi="宋体" w:eastAsia="宋体" w:cs="宋体"/>
          <w:spacing w:val="-2"/>
          <w:sz w:val="24"/>
          <w:szCs w:val="24"/>
          <w:highlight w:val="none"/>
        </w:rPr>
        <w:t>项目名称：</w:t>
      </w:r>
      <w:r>
        <w:rPr>
          <w:rFonts w:ascii="宋体" w:hAnsi="宋体" w:eastAsia="宋体" w:cs="宋体"/>
          <w:spacing w:val="-2"/>
          <w:sz w:val="24"/>
          <w:szCs w:val="24"/>
          <w:highlight w:val="none"/>
          <w:u w:val="single" w:color="auto"/>
        </w:rPr>
        <w:t xml:space="preserve">                      </w:t>
      </w:r>
      <w:r>
        <w:rPr>
          <w:rFonts w:ascii="宋体" w:hAnsi="宋体" w:eastAsia="宋体" w:cs="宋体"/>
          <w:spacing w:val="-3"/>
          <w:sz w:val="24"/>
          <w:szCs w:val="24"/>
          <w:highlight w:val="none"/>
          <w:u w:val="single" w:color="auto"/>
        </w:rPr>
        <w:t xml:space="preserve">                           </w:t>
      </w:r>
    </w:p>
    <w:p w14:paraId="4F4F1844">
      <w:pPr>
        <w:pStyle w:val="2"/>
        <w:spacing w:line="314" w:lineRule="auto"/>
        <w:rPr>
          <w:highlight w:val="none"/>
        </w:rPr>
      </w:pPr>
    </w:p>
    <w:p w14:paraId="3317170D">
      <w:pPr>
        <w:pStyle w:val="2"/>
        <w:spacing w:line="315" w:lineRule="auto"/>
        <w:rPr>
          <w:highlight w:val="none"/>
        </w:rPr>
      </w:pPr>
    </w:p>
    <w:p w14:paraId="4AD4EC00">
      <w:pPr>
        <w:spacing w:before="78" w:line="219" w:lineRule="auto"/>
        <w:ind w:left="489"/>
        <w:rPr>
          <w:rFonts w:ascii="宋体" w:hAnsi="宋体" w:eastAsia="宋体" w:cs="宋体"/>
          <w:sz w:val="24"/>
          <w:szCs w:val="24"/>
          <w:highlight w:val="none"/>
        </w:rPr>
      </w:pPr>
      <w:r>
        <w:rPr>
          <w:rFonts w:ascii="宋体" w:hAnsi="宋体" w:eastAsia="宋体" w:cs="宋体"/>
          <w:spacing w:val="6"/>
          <w:sz w:val="24"/>
          <w:szCs w:val="24"/>
          <w:highlight w:val="none"/>
        </w:rPr>
        <w:t>致</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6"/>
          <w:sz w:val="24"/>
          <w:szCs w:val="24"/>
          <w:highlight w:val="none"/>
        </w:rPr>
        <w:t>采购代理机构名称</w:t>
      </w:r>
      <w:r>
        <w:rPr>
          <w:rFonts w:ascii="宋体" w:hAnsi="宋体" w:eastAsia="宋体" w:cs="宋体"/>
          <w:spacing w:val="-17"/>
          <w:sz w:val="24"/>
          <w:szCs w:val="24"/>
          <w:highlight w:val="none"/>
        </w:rPr>
        <w:t>）：</w:t>
      </w:r>
    </w:p>
    <w:p w14:paraId="1C7FEE8A">
      <w:pPr>
        <w:tabs>
          <w:tab w:val="left" w:pos="1920"/>
        </w:tabs>
        <w:spacing w:before="218" w:line="375" w:lineRule="auto"/>
        <w:ind w:left="10" w:firstLine="469"/>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z w:val="24"/>
          <w:szCs w:val="24"/>
          <w:highlight w:val="none"/>
        </w:rPr>
        <w:t>（供应商法定代表人名称）是</w:t>
      </w:r>
      <w:r>
        <w:rPr>
          <w:rFonts w:ascii="宋体" w:hAnsi="宋体" w:eastAsia="宋体" w:cs="宋体"/>
          <w:spacing w:val="6"/>
          <w:sz w:val="24"/>
          <w:szCs w:val="24"/>
          <w:highlight w:val="none"/>
          <w:u w:val="single" w:color="auto"/>
        </w:rPr>
        <w:t xml:space="preserve">                   </w:t>
      </w:r>
      <w:r>
        <w:rPr>
          <w:rFonts w:ascii="宋体" w:hAnsi="宋体" w:eastAsia="宋体" w:cs="宋体"/>
          <w:sz w:val="24"/>
          <w:szCs w:val="24"/>
          <w:highlight w:val="none"/>
        </w:rPr>
        <w:t>（供应商名称）的</w:t>
      </w:r>
      <w:r>
        <w:rPr>
          <w:rFonts w:ascii="宋体" w:hAnsi="宋体" w:eastAsia="宋体" w:cs="宋体"/>
          <w:spacing w:val="5"/>
          <w:sz w:val="24"/>
          <w:szCs w:val="24"/>
          <w:highlight w:val="none"/>
        </w:rPr>
        <w:t xml:space="preserve"> </w:t>
      </w:r>
      <w:r>
        <w:rPr>
          <w:rFonts w:ascii="宋体" w:hAnsi="宋体" w:eastAsia="宋体" w:cs="宋体"/>
          <w:sz w:val="24"/>
          <w:szCs w:val="24"/>
          <w:highlight w:val="none"/>
        </w:rPr>
        <w:t>法定代表人，特授权</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（被授权人姓名及身份证代码</w:t>
      </w:r>
      <w:r>
        <w:rPr>
          <w:rFonts w:ascii="宋体" w:hAnsi="宋体" w:eastAsia="宋体" w:cs="宋体"/>
          <w:spacing w:val="-1"/>
          <w:sz w:val="24"/>
          <w:szCs w:val="24"/>
          <w:highlight w:val="none"/>
        </w:rPr>
        <w:t>）代表我单位全权办理上述</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项目的投标、签约等具体工作，并签署全部有关文件、协议及合同。</w:t>
      </w:r>
    </w:p>
    <w:p w14:paraId="6499E85B">
      <w:pPr>
        <w:spacing w:before="37"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我单位对被授权人的签字负全部责任。</w:t>
      </w:r>
    </w:p>
    <w:p w14:paraId="6B288DED">
      <w:pPr>
        <w:spacing w:before="214" w:line="371" w:lineRule="auto"/>
        <w:ind w:left="9" w:firstLine="479"/>
        <w:rPr>
          <w:rFonts w:ascii="宋体" w:hAnsi="宋体" w:eastAsia="宋体" w:cs="宋体"/>
          <w:sz w:val="24"/>
          <w:szCs w:val="24"/>
          <w:highlight w:val="none"/>
        </w:rPr>
      </w:pPr>
      <w:r>
        <w:rPr>
          <w:rFonts w:ascii="宋体" w:hAnsi="宋体" w:eastAsia="宋体" w:cs="宋体"/>
          <w:sz w:val="24"/>
          <w:szCs w:val="24"/>
          <w:highlight w:val="none"/>
        </w:rPr>
        <w:t>在撤消授权的书面通知以前，本授权书一直有效。被授权人在</w:t>
      </w:r>
      <w:r>
        <w:rPr>
          <w:rFonts w:ascii="宋体" w:hAnsi="宋体" w:eastAsia="宋体" w:cs="宋体"/>
          <w:spacing w:val="-1"/>
          <w:sz w:val="24"/>
          <w:szCs w:val="24"/>
          <w:highlight w:val="none"/>
        </w:rPr>
        <w:t>授权书有效期内签署的</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所有文件不因授权的撤消而失效。</w:t>
      </w:r>
    </w:p>
    <w:p w14:paraId="11A5ECF9">
      <w:pPr>
        <w:pStyle w:val="2"/>
        <w:spacing w:line="316" w:lineRule="auto"/>
        <w:rPr>
          <w:highlight w:val="none"/>
        </w:rPr>
      </w:pPr>
    </w:p>
    <w:p w14:paraId="4DB17C5C">
      <w:pPr>
        <w:pStyle w:val="2"/>
        <w:spacing w:line="317" w:lineRule="auto"/>
        <w:rPr>
          <w:highlight w:val="none"/>
        </w:rPr>
      </w:pPr>
    </w:p>
    <w:p w14:paraId="56BDB457">
      <w:pPr>
        <w:pStyle w:val="2"/>
        <w:spacing w:line="317" w:lineRule="auto"/>
        <w:rPr>
          <w:highlight w:val="none"/>
        </w:rPr>
      </w:pPr>
    </w:p>
    <w:p w14:paraId="0DF95893">
      <w:pPr>
        <w:spacing w:before="79" w:line="219" w:lineRule="auto"/>
        <w:ind w:left="580"/>
        <w:rPr>
          <w:rFonts w:ascii="宋体" w:hAnsi="宋体" w:eastAsia="宋体" w:cs="宋体"/>
          <w:sz w:val="24"/>
          <w:szCs w:val="24"/>
          <w:highlight w:val="none"/>
        </w:rPr>
      </w:pPr>
      <w:r>
        <w:rPr>
          <w:rFonts w:ascii="宋体" w:hAnsi="宋体" w:eastAsia="宋体" w:cs="宋体"/>
          <w:sz w:val="24"/>
          <w:szCs w:val="24"/>
          <w:highlight w:val="none"/>
        </w:rPr>
        <w:t xml:space="preserve">被授权人：                               </w:t>
      </w:r>
      <w:r>
        <w:rPr>
          <w:rFonts w:ascii="宋体" w:hAnsi="宋体" w:eastAsia="宋体" w:cs="宋体"/>
          <w:spacing w:val="-1"/>
          <w:sz w:val="24"/>
          <w:szCs w:val="24"/>
          <w:highlight w:val="none"/>
        </w:rPr>
        <w:t xml:space="preserve">  供应商法定代表人：</w:t>
      </w:r>
    </w:p>
    <w:p w14:paraId="64E55959">
      <w:pPr>
        <w:spacing w:before="217" w:line="219" w:lineRule="auto"/>
        <w:ind w:left="592"/>
        <w:rPr>
          <w:rFonts w:ascii="宋体" w:hAnsi="宋体" w:eastAsia="宋体" w:cs="宋体"/>
          <w:sz w:val="24"/>
          <w:szCs w:val="24"/>
          <w:highlight w:val="none"/>
        </w:rPr>
      </w:pPr>
      <w:r>
        <w:rPr>
          <w:rFonts w:ascii="宋体" w:hAnsi="宋体" w:eastAsia="宋体" w:cs="宋体"/>
          <w:spacing w:val="1"/>
          <w:sz w:val="24"/>
          <w:szCs w:val="24"/>
          <w:highlight w:val="none"/>
        </w:rPr>
        <w:t>（签字或盖章</w:t>
      </w:r>
      <w:r>
        <w:rPr>
          <w:rFonts w:ascii="宋体" w:hAnsi="宋体" w:eastAsia="宋体" w:cs="宋体"/>
          <w:spacing w:val="-17"/>
          <w:sz w:val="24"/>
          <w:szCs w:val="24"/>
          <w:highlight w:val="none"/>
        </w:rPr>
        <w:t>）</w:t>
      </w:r>
      <w:r>
        <w:rPr>
          <w:rFonts w:ascii="宋体" w:hAnsi="宋体" w:eastAsia="宋体" w:cs="宋体"/>
          <w:spacing w:val="4"/>
          <w:sz w:val="24"/>
          <w:szCs w:val="24"/>
          <w:highlight w:val="none"/>
        </w:rPr>
        <w:t xml:space="preserve">                          </w:t>
      </w:r>
      <w:r>
        <w:rPr>
          <w:rFonts w:ascii="宋体" w:hAnsi="宋体" w:eastAsia="宋体" w:cs="宋体"/>
          <w:spacing w:val="3"/>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1"/>
          <w:sz w:val="24"/>
          <w:szCs w:val="24"/>
          <w:highlight w:val="none"/>
        </w:rPr>
        <w:t>签字或盖章）</w:t>
      </w:r>
    </w:p>
    <w:p w14:paraId="5A65FFD0">
      <w:pPr>
        <w:pStyle w:val="2"/>
        <w:spacing w:line="282" w:lineRule="auto"/>
        <w:rPr>
          <w:highlight w:val="none"/>
        </w:rPr>
      </w:pPr>
    </w:p>
    <w:p w14:paraId="21B02AE9">
      <w:pPr>
        <w:pStyle w:val="2"/>
        <w:spacing w:line="282" w:lineRule="auto"/>
        <w:rPr>
          <w:highlight w:val="none"/>
        </w:rPr>
      </w:pPr>
    </w:p>
    <w:p w14:paraId="30727174">
      <w:pPr>
        <w:pStyle w:val="2"/>
        <w:spacing w:line="283" w:lineRule="auto"/>
        <w:rPr>
          <w:highlight w:val="none"/>
        </w:rPr>
      </w:pPr>
    </w:p>
    <w:p w14:paraId="0E4B505E">
      <w:pPr>
        <w:pStyle w:val="2"/>
        <w:spacing w:line="283" w:lineRule="auto"/>
        <w:rPr>
          <w:highlight w:val="none"/>
        </w:rPr>
      </w:pPr>
    </w:p>
    <w:p w14:paraId="27C157A9">
      <w:pPr>
        <w:spacing w:before="78" w:line="219" w:lineRule="auto"/>
        <w:ind w:left="592"/>
        <w:rPr>
          <w:rFonts w:ascii="宋体" w:hAnsi="宋体" w:eastAsia="宋体" w:cs="宋体"/>
          <w:sz w:val="24"/>
          <w:szCs w:val="24"/>
          <w:highlight w:val="none"/>
        </w:rPr>
      </w:pPr>
      <w:r>
        <w:rPr>
          <w:rFonts w:ascii="宋体" w:hAnsi="宋体" w:eastAsia="宋体" w:cs="宋体"/>
          <w:spacing w:val="-2"/>
          <w:sz w:val="24"/>
          <w:szCs w:val="24"/>
          <w:highlight w:val="none"/>
        </w:rPr>
        <w:t>（附：被授权人身份证正反面复印件）</w:t>
      </w:r>
    </w:p>
    <w:p w14:paraId="4919B49B">
      <w:pPr>
        <w:pStyle w:val="2"/>
        <w:spacing w:line="271" w:lineRule="auto"/>
        <w:rPr>
          <w:highlight w:val="none"/>
        </w:rPr>
      </w:pPr>
    </w:p>
    <w:p w14:paraId="681BB6E8">
      <w:pPr>
        <w:pStyle w:val="2"/>
        <w:spacing w:line="271" w:lineRule="auto"/>
        <w:rPr>
          <w:highlight w:val="none"/>
        </w:rPr>
      </w:pPr>
    </w:p>
    <w:p w14:paraId="77DA04C0">
      <w:pPr>
        <w:pStyle w:val="2"/>
        <w:spacing w:line="271" w:lineRule="auto"/>
        <w:rPr>
          <w:highlight w:val="none"/>
        </w:rPr>
      </w:pPr>
    </w:p>
    <w:p w14:paraId="70E69C7D">
      <w:pPr>
        <w:pStyle w:val="2"/>
        <w:spacing w:line="271" w:lineRule="auto"/>
        <w:rPr>
          <w:highlight w:val="none"/>
        </w:rPr>
      </w:pPr>
    </w:p>
    <w:p w14:paraId="5B2B87FF">
      <w:pPr>
        <w:pStyle w:val="2"/>
        <w:spacing w:line="271" w:lineRule="auto"/>
        <w:rPr>
          <w:highlight w:val="none"/>
        </w:rPr>
      </w:pPr>
    </w:p>
    <w:p w14:paraId="4621B478">
      <w:pPr>
        <w:pStyle w:val="2"/>
        <w:spacing w:line="271" w:lineRule="auto"/>
        <w:rPr>
          <w:highlight w:val="none"/>
        </w:rPr>
      </w:pPr>
    </w:p>
    <w:p w14:paraId="0DF093AB">
      <w:pPr>
        <w:spacing w:before="78" w:line="371" w:lineRule="auto"/>
        <w:ind w:left="7502" w:right="427" w:hanging="229"/>
        <w:rPr>
          <w:rFonts w:ascii="宋体" w:hAnsi="宋体" w:eastAsia="宋体" w:cs="宋体"/>
          <w:sz w:val="24"/>
          <w:szCs w:val="24"/>
          <w:highlight w:val="none"/>
        </w:rPr>
      </w:pPr>
      <w:r>
        <w:rPr>
          <w:rFonts w:ascii="宋体" w:hAnsi="宋体" w:eastAsia="宋体" w:cs="宋体"/>
          <w:spacing w:val="-6"/>
          <w:sz w:val="24"/>
          <w:szCs w:val="24"/>
          <w:highlight w:val="none"/>
        </w:rPr>
        <w:t>（供应商公章）</w:t>
      </w:r>
      <w:r>
        <w:rPr>
          <w:rFonts w:ascii="宋体" w:hAnsi="宋体" w:eastAsia="宋体" w:cs="宋体"/>
          <w:spacing w:val="4"/>
          <w:sz w:val="24"/>
          <w:szCs w:val="24"/>
          <w:highlight w:val="none"/>
        </w:rPr>
        <w:t xml:space="preserve"> </w:t>
      </w:r>
      <w:r>
        <w:rPr>
          <w:rFonts w:ascii="宋体" w:hAnsi="宋体" w:eastAsia="宋体" w:cs="宋体"/>
          <w:spacing w:val="-26"/>
          <w:sz w:val="24"/>
          <w:szCs w:val="24"/>
          <w:highlight w:val="none"/>
        </w:rPr>
        <w:t>年</w:t>
      </w:r>
      <w:r>
        <w:rPr>
          <w:rFonts w:ascii="宋体" w:hAnsi="宋体" w:eastAsia="宋体" w:cs="宋体"/>
          <w:spacing w:val="5"/>
          <w:sz w:val="24"/>
          <w:szCs w:val="24"/>
          <w:highlight w:val="none"/>
        </w:rPr>
        <w:t xml:space="preserve">   </w:t>
      </w:r>
      <w:r>
        <w:rPr>
          <w:rFonts w:ascii="宋体" w:hAnsi="宋体" w:eastAsia="宋体" w:cs="宋体"/>
          <w:spacing w:val="-26"/>
          <w:sz w:val="24"/>
          <w:szCs w:val="24"/>
          <w:highlight w:val="none"/>
        </w:rPr>
        <w:t>月</w:t>
      </w:r>
      <w:r>
        <w:rPr>
          <w:rFonts w:ascii="宋体" w:hAnsi="宋体" w:eastAsia="宋体" w:cs="宋体"/>
          <w:spacing w:val="17"/>
          <w:sz w:val="24"/>
          <w:szCs w:val="24"/>
          <w:highlight w:val="none"/>
        </w:rPr>
        <w:t xml:space="preserve">   </w:t>
      </w:r>
      <w:r>
        <w:rPr>
          <w:rFonts w:ascii="宋体" w:hAnsi="宋体" w:eastAsia="宋体" w:cs="宋体"/>
          <w:spacing w:val="-26"/>
          <w:sz w:val="24"/>
          <w:szCs w:val="24"/>
          <w:highlight w:val="none"/>
        </w:rPr>
        <w:t>日</w:t>
      </w:r>
    </w:p>
    <w:p w14:paraId="3C5CFB40">
      <w:pPr>
        <w:spacing w:line="371" w:lineRule="auto"/>
        <w:rPr>
          <w:rFonts w:ascii="宋体" w:hAnsi="宋体" w:eastAsia="宋体" w:cs="宋体"/>
          <w:sz w:val="24"/>
          <w:szCs w:val="24"/>
          <w:highlight w:val="none"/>
        </w:rPr>
        <w:sectPr>
          <w:headerReference r:id="rId38" w:type="default"/>
          <w:footerReference r:id="rId39" w:type="default"/>
          <w:pgSz w:w="11907" w:h="16840"/>
          <w:pgMar w:top="1103" w:right="1243" w:bottom="1201" w:left="1303" w:header="854" w:footer="996" w:gutter="0"/>
          <w:cols w:space="720" w:num="1"/>
        </w:sectPr>
      </w:pPr>
    </w:p>
    <w:p w14:paraId="491E8852">
      <w:pPr>
        <w:spacing w:before="224" w:line="219" w:lineRule="auto"/>
        <w:ind w:left="381"/>
        <w:rPr>
          <w:rFonts w:ascii="宋体" w:hAnsi="宋体" w:eastAsia="宋体" w:cs="宋体"/>
          <w:sz w:val="24"/>
          <w:szCs w:val="24"/>
          <w:highlight w:val="none"/>
        </w:rPr>
      </w:pPr>
      <w:r>
        <w:rPr>
          <w:rFonts w:ascii="宋体" w:hAnsi="宋体" w:eastAsia="宋体" w:cs="宋体"/>
          <w:spacing w:val="-2"/>
          <w:sz w:val="24"/>
          <w:szCs w:val="24"/>
          <w:highlight w:val="none"/>
        </w:rPr>
        <w:t>（四）基本资格条件承诺函</w:t>
      </w:r>
    </w:p>
    <w:p w14:paraId="65F9EB34">
      <w:pPr>
        <w:pStyle w:val="2"/>
        <w:spacing w:line="440" w:lineRule="auto"/>
        <w:rPr>
          <w:highlight w:val="none"/>
        </w:rPr>
      </w:pPr>
    </w:p>
    <w:p w14:paraId="25D5C101">
      <w:pPr>
        <w:spacing w:before="78" w:line="219" w:lineRule="auto"/>
        <w:ind w:left="3631"/>
        <w:rPr>
          <w:rFonts w:ascii="宋体" w:hAnsi="宋体" w:eastAsia="宋体" w:cs="宋体"/>
          <w:sz w:val="24"/>
          <w:szCs w:val="24"/>
          <w:highlight w:val="none"/>
        </w:rPr>
      </w:pPr>
      <w:r>
        <w:rPr>
          <w:rFonts w:ascii="宋体" w:hAnsi="宋体" w:eastAsia="宋体" w:cs="宋体"/>
          <w:b/>
          <w:bCs/>
          <w:spacing w:val="-3"/>
          <w:sz w:val="24"/>
          <w:szCs w:val="24"/>
          <w:highlight w:val="none"/>
        </w:rPr>
        <w:t>基本资格条件承诺函</w:t>
      </w:r>
    </w:p>
    <w:p w14:paraId="12FD7B87">
      <w:pPr>
        <w:pStyle w:val="2"/>
        <w:spacing w:line="284" w:lineRule="auto"/>
        <w:rPr>
          <w:highlight w:val="none"/>
        </w:rPr>
      </w:pPr>
    </w:p>
    <w:p w14:paraId="20D3D6E0">
      <w:pPr>
        <w:pStyle w:val="2"/>
        <w:spacing w:line="285" w:lineRule="auto"/>
        <w:rPr>
          <w:highlight w:val="none"/>
        </w:rPr>
      </w:pPr>
    </w:p>
    <w:p w14:paraId="1908804F">
      <w:pPr>
        <w:tabs>
          <w:tab w:val="left" w:pos="1688"/>
        </w:tabs>
        <w:spacing w:before="78" w:line="345" w:lineRule="auto"/>
        <w:ind w:left="9" w:right="4313"/>
        <w:jc w:val="right"/>
        <w:rPr>
          <w:rFonts w:ascii="宋体" w:hAnsi="宋体" w:eastAsia="宋体" w:cs="宋体"/>
          <w:sz w:val="24"/>
          <w:szCs w:val="24"/>
          <w:highlight w:val="none"/>
        </w:rPr>
      </w:pPr>
      <w:r>
        <w:rPr>
          <w:rFonts w:ascii="宋体" w:hAnsi="宋体" w:eastAsia="宋体" w:cs="宋体"/>
          <w:spacing w:val="-1"/>
          <w:sz w:val="24"/>
          <w:szCs w:val="24"/>
          <w:highlight w:val="none"/>
        </w:rPr>
        <w:t>致</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（采购代理机构名称</w:t>
      </w:r>
      <w:r>
        <w:rPr>
          <w:rFonts w:ascii="宋体" w:hAnsi="宋体" w:eastAsia="宋体" w:cs="宋体"/>
          <w:spacing w:val="-21"/>
          <w:sz w:val="24"/>
          <w:szCs w:val="24"/>
          <w:highlight w:val="none"/>
        </w:rPr>
        <w:t>）：</w:t>
      </w:r>
      <w:r>
        <w:rPr>
          <w:rFonts w:ascii="宋体" w:hAnsi="宋体" w:eastAsia="宋体" w:cs="宋体"/>
          <w:sz w:val="24"/>
          <w:szCs w:val="24"/>
          <w:highlight w:val="none"/>
        </w:rPr>
        <w:t xml:space="preserve"> </w:t>
      </w:r>
      <w:r>
        <w:rPr>
          <w:rFonts w:ascii="宋体" w:hAnsi="宋体" w:eastAsia="宋体" w:cs="宋体"/>
          <w:sz w:val="24"/>
          <w:szCs w:val="24"/>
          <w:highlight w:val="none"/>
          <w:u w:val="single" w:color="auto"/>
        </w:rPr>
        <w:tab/>
      </w:r>
      <w:r>
        <w:rPr>
          <w:rFonts w:ascii="宋体" w:hAnsi="宋体" w:eastAsia="宋体" w:cs="宋体"/>
          <w:sz w:val="24"/>
          <w:szCs w:val="24"/>
          <w:highlight w:val="none"/>
        </w:rPr>
        <w:t>（供应商名称）郑重承诺：</w:t>
      </w:r>
    </w:p>
    <w:p w14:paraId="3B197DD0">
      <w:pPr>
        <w:spacing w:before="39" w:line="350" w:lineRule="auto"/>
        <w:ind w:left="8" w:right="52" w:firstLine="498"/>
        <w:jc w:val="both"/>
        <w:rPr>
          <w:rFonts w:ascii="宋体" w:hAnsi="宋体" w:eastAsia="宋体" w:cs="宋体"/>
          <w:sz w:val="24"/>
          <w:szCs w:val="24"/>
          <w:highlight w:val="none"/>
        </w:rPr>
      </w:pPr>
      <w:r>
        <w:rPr>
          <w:rFonts w:ascii="宋体" w:hAnsi="宋体" w:eastAsia="宋体" w:cs="宋体"/>
          <w:spacing w:val="-1"/>
          <w:sz w:val="24"/>
          <w:szCs w:val="24"/>
          <w:highlight w:val="none"/>
        </w:rPr>
        <w:t>1.我方具有良好的商业信誉和健全的财务会计制度，具有履行合同所必需的设备和专</w:t>
      </w:r>
      <w:r>
        <w:rPr>
          <w:rFonts w:ascii="宋体" w:hAnsi="宋体" w:eastAsia="宋体" w:cs="宋体"/>
          <w:spacing w:val="9"/>
          <w:sz w:val="24"/>
          <w:szCs w:val="24"/>
          <w:highlight w:val="none"/>
        </w:rPr>
        <w:t xml:space="preserve"> </w:t>
      </w:r>
      <w:r>
        <w:rPr>
          <w:rFonts w:ascii="宋体" w:hAnsi="宋体" w:eastAsia="宋体" w:cs="宋体"/>
          <w:sz w:val="24"/>
          <w:szCs w:val="24"/>
          <w:highlight w:val="none"/>
        </w:rPr>
        <w:t>业技术能力，具有依法缴纳税收和社会保障金的良好记录，参加本</w:t>
      </w:r>
      <w:r>
        <w:rPr>
          <w:rFonts w:ascii="宋体" w:hAnsi="宋体" w:eastAsia="宋体" w:cs="宋体"/>
          <w:spacing w:val="-1"/>
          <w:sz w:val="24"/>
          <w:szCs w:val="24"/>
          <w:highlight w:val="none"/>
        </w:rPr>
        <w:t>项目采购活动前三年内</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无重大违法活动记录。</w:t>
      </w:r>
    </w:p>
    <w:p w14:paraId="09259E43">
      <w:pPr>
        <w:spacing w:before="33" w:line="350" w:lineRule="auto"/>
        <w:ind w:left="7" w:firstLine="484"/>
        <w:jc w:val="both"/>
        <w:rPr>
          <w:rFonts w:ascii="宋体" w:hAnsi="宋体" w:eastAsia="宋体" w:cs="宋体"/>
          <w:sz w:val="24"/>
          <w:szCs w:val="24"/>
          <w:highlight w:val="none"/>
        </w:rPr>
      </w:pPr>
      <w:r>
        <w:rPr>
          <w:rFonts w:ascii="宋体" w:hAnsi="宋体" w:eastAsia="宋体" w:cs="宋体"/>
          <w:spacing w:val="-1"/>
          <w:sz w:val="24"/>
          <w:szCs w:val="24"/>
          <w:highlight w:val="none"/>
        </w:rPr>
        <w:t>2.我方未列入在信用中国网站（www.creditchina.gov.cn）“失信被执行人</w:t>
      </w:r>
      <w:r>
        <w:rPr>
          <w:rFonts w:ascii="宋体" w:hAnsi="宋体" w:eastAsia="宋体" w:cs="宋体"/>
          <w:spacing w:val="-85"/>
          <w:sz w:val="24"/>
          <w:szCs w:val="24"/>
          <w:highlight w:val="none"/>
        </w:rPr>
        <w:t xml:space="preserve"> </w:t>
      </w:r>
      <w:r>
        <w:rPr>
          <w:rFonts w:ascii="宋体" w:hAnsi="宋体" w:eastAsia="宋体" w:cs="宋体"/>
          <w:spacing w:val="-1"/>
          <w:sz w:val="24"/>
          <w:szCs w:val="24"/>
          <w:highlight w:val="none"/>
        </w:rPr>
        <w:t>”、“重</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大税收违法案件当事人名单</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”中，也未列入中国政府采购网（www.cc</w:t>
      </w:r>
      <w:r>
        <w:rPr>
          <w:rFonts w:ascii="宋体" w:hAnsi="宋体" w:eastAsia="宋体" w:cs="宋体"/>
          <w:spacing w:val="-3"/>
          <w:sz w:val="24"/>
          <w:szCs w:val="24"/>
          <w:highlight w:val="none"/>
        </w:rPr>
        <w:t>gp.gov.cn）“政府采</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购严重违法失信行为记录名单</w:t>
      </w:r>
      <w:r>
        <w:rPr>
          <w:rFonts w:ascii="宋体" w:hAnsi="宋体" w:eastAsia="宋体" w:cs="宋体"/>
          <w:spacing w:val="-81"/>
          <w:sz w:val="24"/>
          <w:szCs w:val="24"/>
          <w:highlight w:val="none"/>
        </w:rPr>
        <w:t xml:space="preserve"> </w:t>
      </w:r>
      <w:r>
        <w:rPr>
          <w:rFonts w:ascii="宋体" w:hAnsi="宋体" w:eastAsia="宋体" w:cs="宋体"/>
          <w:spacing w:val="-3"/>
          <w:sz w:val="24"/>
          <w:szCs w:val="24"/>
          <w:highlight w:val="none"/>
        </w:rPr>
        <w:t>”中。</w:t>
      </w:r>
    </w:p>
    <w:p w14:paraId="12D8F867">
      <w:pPr>
        <w:spacing w:before="35" w:line="345" w:lineRule="auto"/>
        <w:ind w:left="8" w:right="52" w:firstLine="485"/>
        <w:rPr>
          <w:rFonts w:ascii="宋体" w:hAnsi="宋体" w:eastAsia="宋体" w:cs="宋体"/>
          <w:sz w:val="24"/>
          <w:szCs w:val="24"/>
          <w:highlight w:val="none"/>
        </w:rPr>
      </w:pPr>
      <w:r>
        <w:rPr>
          <w:rFonts w:ascii="宋体" w:hAnsi="宋体" w:eastAsia="宋体" w:cs="宋体"/>
          <w:sz w:val="24"/>
          <w:szCs w:val="24"/>
          <w:highlight w:val="none"/>
        </w:rPr>
        <w:t>3.我方在采购项目评审（评标）环节结束后，随</w:t>
      </w:r>
      <w:r>
        <w:rPr>
          <w:rFonts w:ascii="宋体" w:hAnsi="宋体" w:eastAsia="宋体" w:cs="宋体"/>
          <w:spacing w:val="-1"/>
          <w:sz w:val="24"/>
          <w:szCs w:val="24"/>
          <w:highlight w:val="none"/>
        </w:rPr>
        <w:t>时接受采购人、采购代理机构的检查</w:t>
      </w:r>
      <w:r>
        <w:rPr>
          <w:rFonts w:ascii="宋体" w:hAnsi="宋体" w:eastAsia="宋体" w:cs="宋体"/>
          <w:sz w:val="24"/>
          <w:szCs w:val="24"/>
          <w:highlight w:val="none"/>
        </w:rPr>
        <w:t xml:space="preserve"> 验证，配合提供相关证明材料，证明符合竞争性比选文件规定的</w:t>
      </w:r>
      <w:r>
        <w:rPr>
          <w:rFonts w:ascii="宋体" w:hAnsi="宋体" w:eastAsia="宋体" w:cs="宋体"/>
          <w:spacing w:val="-1"/>
          <w:sz w:val="24"/>
          <w:szCs w:val="24"/>
          <w:highlight w:val="none"/>
        </w:rPr>
        <w:t>供应商基本资格条件。</w:t>
      </w:r>
    </w:p>
    <w:p w14:paraId="7713DC72">
      <w:pPr>
        <w:spacing w:before="37" w:line="347" w:lineRule="auto"/>
        <w:ind w:left="489" w:right="5372" w:firstLine="1"/>
        <w:rPr>
          <w:rFonts w:ascii="宋体" w:hAnsi="宋体" w:eastAsia="宋体" w:cs="宋体"/>
          <w:sz w:val="24"/>
          <w:szCs w:val="24"/>
          <w:highlight w:val="none"/>
        </w:rPr>
      </w:pPr>
      <w:r>
        <w:rPr>
          <w:rFonts w:ascii="宋体" w:hAnsi="宋体" w:eastAsia="宋体" w:cs="宋体"/>
          <w:spacing w:val="-4"/>
          <w:sz w:val="24"/>
          <w:szCs w:val="24"/>
          <w:highlight w:val="none"/>
        </w:rPr>
        <w:t>我方对以上承诺负全部法律责任。</w:t>
      </w:r>
      <w:r>
        <w:rPr>
          <w:rFonts w:ascii="宋体" w:hAnsi="宋体" w:eastAsia="宋体" w:cs="宋体"/>
          <w:spacing w:val="7"/>
          <w:sz w:val="24"/>
          <w:szCs w:val="24"/>
          <w:highlight w:val="none"/>
        </w:rPr>
        <w:t xml:space="preserve"> </w:t>
      </w:r>
      <w:r>
        <w:rPr>
          <w:rFonts w:ascii="宋体" w:hAnsi="宋体" w:eastAsia="宋体" w:cs="宋体"/>
          <w:spacing w:val="-2"/>
          <w:sz w:val="24"/>
          <w:szCs w:val="24"/>
          <w:highlight w:val="none"/>
        </w:rPr>
        <w:t>特此承诺。</w:t>
      </w:r>
    </w:p>
    <w:p w14:paraId="0A3AFCAA">
      <w:pPr>
        <w:spacing w:before="31" w:line="347" w:lineRule="auto"/>
        <w:ind w:left="7982" w:hanging="229"/>
        <w:rPr>
          <w:rFonts w:ascii="宋体" w:hAnsi="宋体" w:eastAsia="宋体" w:cs="宋体"/>
          <w:sz w:val="24"/>
          <w:szCs w:val="24"/>
          <w:highlight w:val="none"/>
        </w:rPr>
      </w:pPr>
      <w:r>
        <w:rPr>
          <w:rFonts w:ascii="宋体" w:hAnsi="宋体" w:eastAsia="宋体" w:cs="宋体"/>
          <w:spacing w:val="-6"/>
          <w:sz w:val="24"/>
          <w:szCs w:val="24"/>
          <w:highlight w:val="none"/>
        </w:rPr>
        <w:t>（供应商公章）</w:t>
      </w:r>
      <w:r>
        <w:rPr>
          <w:rFonts w:ascii="宋体" w:hAnsi="宋体" w:eastAsia="宋体" w:cs="宋体"/>
          <w:spacing w:val="4"/>
          <w:sz w:val="24"/>
          <w:szCs w:val="24"/>
          <w:highlight w:val="none"/>
        </w:rPr>
        <w:t xml:space="preserve"> </w:t>
      </w:r>
      <w:r>
        <w:rPr>
          <w:rFonts w:ascii="宋体" w:hAnsi="宋体" w:eastAsia="宋体" w:cs="宋体"/>
          <w:spacing w:val="-26"/>
          <w:sz w:val="24"/>
          <w:szCs w:val="24"/>
          <w:highlight w:val="none"/>
        </w:rPr>
        <w:t>年</w:t>
      </w:r>
      <w:r>
        <w:rPr>
          <w:rFonts w:ascii="宋体" w:hAnsi="宋体" w:eastAsia="宋体" w:cs="宋体"/>
          <w:spacing w:val="5"/>
          <w:sz w:val="24"/>
          <w:szCs w:val="24"/>
          <w:highlight w:val="none"/>
        </w:rPr>
        <w:t xml:space="preserve">   </w:t>
      </w:r>
      <w:r>
        <w:rPr>
          <w:rFonts w:ascii="宋体" w:hAnsi="宋体" w:eastAsia="宋体" w:cs="宋体"/>
          <w:spacing w:val="-26"/>
          <w:sz w:val="24"/>
          <w:szCs w:val="24"/>
          <w:highlight w:val="none"/>
        </w:rPr>
        <w:t>月</w:t>
      </w:r>
      <w:r>
        <w:rPr>
          <w:rFonts w:ascii="宋体" w:hAnsi="宋体" w:eastAsia="宋体" w:cs="宋体"/>
          <w:spacing w:val="17"/>
          <w:sz w:val="24"/>
          <w:szCs w:val="24"/>
          <w:highlight w:val="none"/>
        </w:rPr>
        <w:t xml:space="preserve">   </w:t>
      </w:r>
      <w:r>
        <w:rPr>
          <w:rFonts w:ascii="宋体" w:hAnsi="宋体" w:eastAsia="宋体" w:cs="宋体"/>
          <w:spacing w:val="-26"/>
          <w:sz w:val="24"/>
          <w:szCs w:val="24"/>
          <w:highlight w:val="none"/>
        </w:rPr>
        <w:t>日</w:t>
      </w:r>
    </w:p>
    <w:p w14:paraId="7A52E2A6">
      <w:pPr>
        <w:spacing w:line="347" w:lineRule="auto"/>
        <w:rPr>
          <w:rFonts w:ascii="宋体" w:hAnsi="宋体" w:eastAsia="宋体" w:cs="宋体"/>
          <w:sz w:val="24"/>
          <w:szCs w:val="24"/>
          <w:highlight w:val="none"/>
        </w:rPr>
        <w:sectPr>
          <w:headerReference r:id="rId40" w:type="default"/>
          <w:footerReference r:id="rId41" w:type="default"/>
          <w:pgSz w:w="11907" w:h="16840"/>
          <w:pgMar w:top="1103" w:right="1190" w:bottom="1200" w:left="1303" w:header="854" w:footer="996" w:gutter="0"/>
          <w:cols w:space="720" w:num="1"/>
        </w:sectPr>
      </w:pPr>
    </w:p>
    <w:p w14:paraId="7A5FE65B">
      <w:pPr>
        <w:spacing w:before="67" w:line="219" w:lineRule="auto"/>
        <w:ind w:left="501"/>
        <w:rPr>
          <w:rFonts w:hint="default" w:ascii="宋体" w:hAnsi="宋体" w:eastAsia="宋体" w:cs="宋体"/>
          <w:sz w:val="24"/>
          <w:szCs w:val="24"/>
          <w:highlight w:val="none"/>
          <w:lang w:val="en-US" w:eastAsia="zh-CN"/>
        </w:rPr>
      </w:pPr>
      <w:r>
        <w:rPr>
          <w:rFonts w:ascii="宋体" w:hAnsi="宋体" w:eastAsia="宋体" w:cs="宋体"/>
          <w:spacing w:val="-2"/>
          <w:sz w:val="24"/>
          <w:szCs w:val="24"/>
          <w:highlight w:val="none"/>
        </w:rPr>
        <w:t>（五）特定资格条件证明文件</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若有）</w:t>
      </w:r>
    </w:p>
    <w:p w14:paraId="4929C73B">
      <w:pPr>
        <w:spacing w:before="179" w:line="219"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说明：供应商按“多证合一</w:t>
      </w:r>
      <w:r>
        <w:rPr>
          <w:rFonts w:ascii="宋体" w:hAnsi="宋体" w:eastAsia="宋体" w:cs="宋体"/>
          <w:spacing w:val="-88"/>
          <w:sz w:val="24"/>
          <w:szCs w:val="24"/>
          <w:highlight w:val="none"/>
        </w:rPr>
        <w:t xml:space="preserve"> </w:t>
      </w:r>
      <w:r>
        <w:rPr>
          <w:rFonts w:ascii="宋体" w:hAnsi="宋体" w:eastAsia="宋体" w:cs="宋体"/>
          <w:spacing w:val="-1"/>
          <w:sz w:val="24"/>
          <w:szCs w:val="24"/>
          <w:highlight w:val="none"/>
        </w:rPr>
        <w:t>”登记制度办理营业执照的，税务登</w:t>
      </w:r>
      <w:r>
        <w:rPr>
          <w:rFonts w:ascii="宋体" w:hAnsi="宋体" w:eastAsia="宋体" w:cs="宋体"/>
          <w:spacing w:val="-2"/>
          <w:sz w:val="24"/>
          <w:szCs w:val="24"/>
          <w:highlight w:val="none"/>
        </w:rPr>
        <w:t>记证（副本）和社会</w:t>
      </w:r>
    </w:p>
    <w:p w14:paraId="7F8C46DB">
      <w:pPr>
        <w:spacing w:before="183" w:line="219" w:lineRule="auto"/>
        <w:ind w:left="10"/>
        <w:outlineLvl w:val="1"/>
        <w:rPr>
          <w:rFonts w:ascii="宋体" w:hAnsi="宋体" w:eastAsia="宋体" w:cs="宋体"/>
          <w:sz w:val="24"/>
          <w:szCs w:val="24"/>
          <w:highlight w:val="none"/>
        </w:rPr>
      </w:pPr>
      <w:r>
        <w:rPr>
          <w:rFonts w:ascii="宋体" w:hAnsi="宋体" w:eastAsia="宋体" w:cs="宋体"/>
          <w:spacing w:val="-1"/>
          <w:sz w:val="24"/>
          <w:szCs w:val="24"/>
          <w:highlight w:val="none"/>
        </w:rPr>
        <w:t>保险登记证以供应商所提供的营业执照（副本）复印件为准。</w:t>
      </w:r>
    </w:p>
    <w:p w14:paraId="2493B799">
      <w:pPr>
        <w:spacing w:line="219" w:lineRule="auto"/>
        <w:rPr>
          <w:rFonts w:ascii="宋体" w:hAnsi="宋体" w:eastAsia="宋体" w:cs="宋体"/>
          <w:sz w:val="24"/>
          <w:szCs w:val="24"/>
          <w:highlight w:val="none"/>
        </w:rPr>
        <w:sectPr>
          <w:headerReference r:id="rId42" w:type="default"/>
          <w:footerReference r:id="rId43" w:type="default"/>
          <w:pgSz w:w="11907" w:h="16840"/>
          <w:pgMar w:top="1103" w:right="1243" w:bottom="1200" w:left="1303" w:header="854" w:footer="996" w:gutter="0"/>
          <w:cols w:space="720" w:num="1"/>
        </w:sectPr>
      </w:pPr>
    </w:p>
    <w:p w14:paraId="7C8CD226">
      <w:pPr>
        <w:spacing w:before="67" w:line="220" w:lineRule="auto"/>
        <w:ind w:left="491"/>
        <w:outlineLvl w:val="1"/>
        <w:rPr>
          <w:rFonts w:ascii="宋体" w:hAnsi="宋体" w:eastAsia="宋体" w:cs="宋体"/>
          <w:sz w:val="24"/>
          <w:szCs w:val="24"/>
          <w:highlight w:val="none"/>
        </w:rPr>
      </w:pPr>
      <w:bookmarkStart w:id="62" w:name="bookmark62"/>
      <w:bookmarkEnd w:id="62"/>
      <w:r>
        <w:rPr>
          <w:rFonts w:ascii="宋体" w:hAnsi="宋体" w:eastAsia="宋体" w:cs="宋体"/>
          <w:spacing w:val="-2"/>
          <w:sz w:val="24"/>
          <w:szCs w:val="24"/>
          <w:highlight w:val="none"/>
        </w:rPr>
        <w:t>六、其他资料</w:t>
      </w:r>
    </w:p>
    <w:p w14:paraId="5460217B">
      <w:pPr>
        <w:spacing w:before="179" w:line="219"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（一）比选保证金缴纳凭证</w:t>
      </w:r>
    </w:p>
    <w:p w14:paraId="18783B23">
      <w:pPr>
        <w:spacing w:line="219" w:lineRule="auto"/>
        <w:rPr>
          <w:rFonts w:ascii="宋体" w:hAnsi="宋体" w:eastAsia="宋体" w:cs="宋体"/>
          <w:sz w:val="24"/>
          <w:szCs w:val="24"/>
          <w:highlight w:val="none"/>
        </w:rPr>
        <w:sectPr>
          <w:headerReference r:id="rId44" w:type="default"/>
          <w:footerReference r:id="rId45" w:type="default"/>
          <w:pgSz w:w="11907" w:h="16840"/>
          <w:pgMar w:top="1103" w:right="1678" w:bottom="1200" w:left="1303" w:header="854" w:footer="996" w:gutter="0"/>
          <w:cols w:space="720" w:num="1"/>
        </w:sectPr>
      </w:pPr>
    </w:p>
    <w:p w14:paraId="79D10F56">
      <w:pPr>
        <w:spacing w:before="177" w:line="220"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（二）其他与项目有关的资料</w:t>
      </w:r>
    </w:p>
    <w:p w14:paraId="468D1082">
      <w:pPr>
        <w:spacing w:before="42" w:line="219" w:lineRule="auto"/>
        <w:jc w:val="right"/>
        <w:rPr>
          <w:rFonts w:ascii="宋体" w:hAnsi="宋体" w:eastAsia="宋体" w:cs="宋体"/>
          <w:sz w:val="24"/>
          <w:szCs w:val="24"/>
          <w:highlight w:val="none"/>
        </w:rPr>
      </w:pPr>
      <w:r>
        <w:rPr>
          <w:rFonts w:ascii="宋体" w:hAnsi="宋体" w:eastAsia="宋体" w:cs="宋体"/>
          <w:spacing w:val="-3"/>
          <w:sz w:val="24"/>
          <w:szCs w:val="24"/>
          <w:highlight w:val="none"/>
        </w:rPr>
        <w:t>其他与项目有关的资料（自附</w:t>
      </w:r>
      <w:r>
        <w:rPr>
          <w:rFonts w:ascii="宋体" w:hAnsi="宋体" w:eastAsia="宋体" w:cs="宋体"/>
          <w:spacing w:val="-6"/>
          <w:sz w:val="24"/>
          <w:szCs w:val="24"/>
          <w:highlight w:val="none"/>
        </w:rPr>
        <w:t>）：</w:t>
      </w:r>
      <w:r>
        <w:rPr>
          <w:rFonts w:ascii="宋体" w:hAnsi="宋体" w:eastAsia="宋体" w:cs="宋体"/>
          <w:spacing w:val="-3"/>
          <w:sz w:val="24"/>
          <w:szCs w:val="24"/>
          <w:highlight w:val="none"/>
        </w:rPr>
        <w:t>供应商总体情况介绍、其他与本项目有关的资料等。</w:t>
      </w:r>
    </w:p>
    <w:p w14:paraId="6CD452F0">
      <w:pPr>
        <w:pStyle w:val="2"/>
        <w:spacing w:line="243" w:lineRule="auto"/>
        <w:rPr>
          <w:highlight w:val="none"/>
        </w:rPr>
      </w:pPr>
    </w:p>
    <w:p w14:paraId="245776A4">
      <w:pPr>
        <w:pStyle w:val="2"/>
        <w:spacing w:line="243" w:lineRule="auto"/>
        <w:rPr>
          <w:highlight w:val="none"/>
        </w:rPr>
      </w:pPr>
    </w:p>
    <w:p w14:paraId="76C7A204">
      <w:pPr>
        <w:pStyle w:val="2"/>
        <w:spacing w:line="243" w:lineRule="auto"/>
        <w:rPr>
          <w:highlight w:val="none"/>
        </w:rPr>
      </w:pPr>
    </w:p>
    <w:p w14:paraId="457DA727">
      <w:pPr>
        <w:pStyle w:val="2"/>
        <w:spacing w:line="243" w:lineRule="auto"/>
        <w:rPr>
          <w:highlight w:val="none"/>
        </w:rPr>
      </w:pPr>
    </w:p>
    <w:p w14:paraId="397627B5">
      <w:pPr>
        <w:pStyle w:val="2"/>
        <w:spacing w:line="243" w:lineRule="auto"/>
        <w:rPr>
          <w:highlight w:val="none"/>
        </w:rPr>
      </w:pPr>
    </w:p>
    <w:p w14:paraId="4FF6CF85">
      <w:pPr>
        <w:pStyle w:val="2"/>
        <w:spacing w:line="243" w:lineRule="auto"/>
        <w:rPr>
          <w:highlight w:val="none"/>
        </w:rPr>
      </w:pPr>
    </w:p>
    <w:p w14:paraId="71D41CF3">
      <w:pPr>
        <w:pStyle w:val="2"/>
        <w:spacing w:line="243" w:lineRule="auto"/>
        <w:rPr>
          <w:highlight w:val="none"/>
        </w:rPr>
      </w:pPr>
    </w:p>
    <w:p w14:paraId="7F6F0A07">
      <w:pPr>
        <w:pStyle w:val="2"/>
        <w:spacing w:line="244" w:lineRule="auto"/>
        <w:rPr>
          <w:highlight w:val="none"/>
        </w:rPr>
      </w:pPr>
    </w:p>
    <w:p w14:paraId="1B396A73">
      <w:pPr>
        <w:pStyle w:val="2"/>
        <w:spacing w:line="244" w:lineRule="auto"/>
        <w:rPr>
          <w:highlight w:val="none"/>
        </w:rPr>
      </w:pPr>
    </w:p>
    <w:p w14:paraId="01DAB4C9">
      <w:pPr>
        <w:pStyle w:val="2"/>
        <w:spacing w:line="244" w:lineRule="auto"/>
        <w:rPr>
          <w:highlight w:val="none"/>
        </w:rPr>
      </w:pPr>
    </w:p>
    <w:p w14:paraId="1F4B4C7E">
      <w:pPr>
        <w:pStyle w:val="2"/>
        <w:spacing w:line="244" w:lineRule="auto"/>
        <w:rPr>
          <w:highlight w:val="none"/>
        </w:rPr>
      </w:pPr>
    </w:p>
    <w:p w14:paraId="074A341E">
      <w:pPr>
        <w:pStyle w:val="2"/>
        <w:spacing w:line="244" w:lineRule="auto"/>
        <w:rPr>
          <w:highlight w:val="none"/>
        </w:rPr>
      </w:pPr>
    </w:p>
    <w:p w14:paraId="15D6F63F">
      <w:pPr>
        <w:pStyle w:val="2"/>
        <w:spacing w:line="244" w:lineRule="auto"/>
        <w:rPr>
          <w:highlight w:val="none"/>
        </w:rPr>
      </w:pPr>
    </w:p>
    <w:p w14:paraId="6B5EF4D6">
      <w:pPr>
        <w:pStyle w:val="2"/>
        <w:spacing w:line="244" w:lineRule="auto"/>
        <w:rPr>
          <w:highlight w:val="none"/>
        </w:rPr>
      </w:pPr>
    </w:p>
    <w:p w14:paraId="0E2615FA">
      <w:pPr>
        <w:pStyle w:val="2"/>
        <w:spacing w:line="244" w:lineRule="auto"/>
        <w:rPr>
          <w:highlight w:val="none"/>
        </w:rPr>
      </w:pPr>
    </w:p>
    <w:p w14:paraId="5883CCA3">
      <w:pPr>
        <w:pStyle w:val="2"/>
        <w:spacing w:line="244" w:lineRule="auto"/>
        <w:rPr>
          <w:highlight w:val="none"/>
        </w:rPr>
      </w:pPr>
    </w:p>
    <w:p w14:paraId="1ADFC6CB">
      <w:pPr>
        <w:pStyle w:val="2"/>
        <w:spacing w:line="244" w:lineRule="auto"/>
        <w:rPr>
          <w:highlight w:val="none"/>
        </w:rPr>
      </w:pPr>
    </w:p>
    <w:p w14:paraId="7CA83832">
      <w:pPr>
        <w:pStyle w:val="2"/>
        <w:spacing w:line="244" w:lineRule="auto"/>
        <w:rPr>
          <w:highlight w:val="none"/>
        </w:rPr>
      </w:pPr>
    </w:p>
    <w:p w14:paraId="0E60C5F5">
      <w:pPr>
        <w:pStyle w:val="2"/>
        <w:spacing w:line="244" w:lineRule="auto"/>
        <w:rPr>
          <w:highlight w:val="none"/>
        </w:rPr>
      </w:pPr>
    </w:p>
    <w:p w14:paraId="0ACC26E4">
      <w:pPr>
        <w:pStyle w:val="2"/>
        <w:spacing w:line="244" w:lineRule="auto"/>
        <w:rPr>
          <w:highlight w:val="none"/>
        </w:rPr>
      </w:pPr>
    </w:p>
    <w:p w14:paraId="7089770B">
      <w:pPr>
        <w:pStyle w:val="2"/>
        <w:spacing w:line="244" w:lineRule="auto"/>
        <w:rPr>
          <w:highlight w:val="none"/>
        </w:rPr>
      </w:pPr>
    </w:p>
    <w:p w14:paraId="2E1EBE92">
      <w:pPr>
        <w:pStyle w:val="2"/>
        <w:spacing w:line="244" w:lineRule="auto"/>
        <w:rPr>
          <w:highlight w:val="none"/>
        </w:rPr>
      </w:pPr>
    </w:p>
    <w:p w14:paraId="26345F56">
      <w:pPr>
        <w:pStyle w:val="2"/>
        <w:spacing w:line="244" w:lineRule="auto"/>
        <w:rPr>
          <w:highlight w:val="none"/>
        </w:rPr>
      </w:pPr>
    </w:p>
    <w:p w14:paraId="3D221B54">
      <w:pPr>
        <w:pStyle w:val="2"/>
        <w:spacing w:line="244" w:lineRule="auto"/>
        <w:rPr>
          <w:highlight w:val="none"/>
        </w:rPr>
      </w:pPr>
    </w:p>
    <w:p w14:paraId="20E5B641">
      <w:pPr>
        <w:pStyle w:val="2"/>
        <w:spacing w:line="244" w:lineRule="auto"/>
        <w:rPr>
          <w:highlight w:val="none"/>
        </w:rPr>
      </w:pPr>
    </w:p>
    <w:p w14:paraId="5D023611">
      <w:pPr>
        <w:pStyle w:val="2"/>
        <w:spacing w:line="244" w:lineRule="auto"/>
        <w:rPr>
          <w:highlight w:val="none"/>
        </w:rPr>
      </w:pPr>
    </w:p>
    <w:p w14:paraId="47D18F4E">
      <w:pPr>
        <w:pStyle w:val="2"/>
        <w:spacing w:line="244" w:lineRule="auto"/>
        <w:rPr>
          <w:highlight w:val="none"/>
        </w:rPr>
      </w:pPr>
    </w:p>
    <w:p w14:paraId="5ECE1292">
      <w:pPr>
        <w:pStyle w:val="2"/>
        <w:spacing w:line="244" w:lineRule="auto"/>
        <w:rPr>
          <w:highlight w:val="none"/>
        </w:rPr>
      </w:pPr>
    </w:p>
    <w:p w14:paraId="14031731">
      <w:pPr>
        <w:pStyle w:val="2"/>
        <w:spacing w:line="244" w:lineRule="auto"/>
        <w:rPr>
          <w:highlight w:val="none"/>
        </w:rPr>
      </w:pPr>
    </w:p>
    <w:p w14:paraId="1B4AE8F5">
      <w:pPr>
        <w:pStyle w:val="2"/>
        <w:spacing w:line="244" w:lineRule="auto"/>
        <w:rPr>
          <w:highlight w:val="none"/>
        </w:rPr>
      </w:pPr>
    </w:p>
    <w:p w14:paraId="01A61831">
      <w:pPr>
        <w:pStyle w:val="2"/>
        <w:spacing w:line="244" w:lineRule="auto"/>
        <w:rPr>
          <w:highlight w:val="none"/>
        </w:rPr>
      </w:pPr>
    </w:p>
    <w:p w14:paraId="26FEE534">
      <w:pPr>
        <w:pStyle w:val="2"/>
        <w:spacing w:line="244" w:lineRule="auto"/>
        <w:rPr>
          <w:highlight w:val="none"/>
        </w:rPr>
      </w:pPr>
    </w:p>
    <w:p w14:paraId="3880527E">
      <w:pPr>
        <w:pStyle w:val="2"/>
        <w:spacing w:line="244" w:lineRule="auto"/>
        <w:rPr>
          <w:highlight w:val="none"/>
        </w:rPr>
      </w:pPr>
    </w:p>
    <w:p w14:paraId="1F0FC869">
      <w:pPr>
        <w:pStyle w:val="2"/>
        <w:spacing w:line="244" w:lineRule="auto"/>
        <w:rPr>
          <w:highlight w:val="none"/>
        </w:rPr>
      </w:pPr>
    </w:p>
    <w:p w14:paraId="20A02ED4">
      <w:pPr>
        <w:pStyle w:val="2"/>
        <w:spacing w:line="244" w:lineRule="auto"/>
        <w:rPr>
          <w:highlight w:val="none"/>
        </w:rPr>
      </w:pPr>
    </w:p>
    <w:p w14:paraId="255F4ADD">
      <w:pPr>
        <w:pStyle w:val="2"/>
        <w:spacing w:line="244" w:lineRule="auto"/>
        <w:rPr>
          <w:highlight w:val="none"/>
        </w:rPr>
      </w:pPr>
    </w:p>
    <w:p w14:paraId="312E0C4F">
      <w:pPr>
        <w:pStyle w:val="2"/>
        <w:spacing w:line="244" w:lineRule="auto"/>
        <w:rPr>
          <w:highlight w:val="none"/>
        </w:rPr>
      </w:pPr>
    </w:p>
    <w:p w14:paraId="6B2222B3">
      <w:pPr>
        <w:pStyle w:val="2"/>
        <w:spacing w:line="244" w:lineRule="auto"/>
        <w:rPr>
          <w:highlight w:val="none"/>
        </w:rPr>
      </w:pPr>
    </w:p>
    <w:p w14:paraId="0A44E16A">
      <w:pPr>
        <w:pStyle w:val="2"/>
        <w:spacing w:line="244" w:lineRule="auto"/>
        <w:rPr>
          <w:highlight w:val="none"/>
        </w:rPr>
      </w:pPr>
    </w:p>
    <w:p w14:paraId="736CA653">
      <w:pPr>
        <w:pStyle w:val="2"/>
        <w:spacing w:line="244" w:lineRule="auto"/>
        <w:rPr>
          <w:highlight w:val="none"/>
        </w:rPr>
      </w:pPr>
    </w:p>
    <w:p w14:paraId="5B2E11C2">
      <w:pPr>
        <w:pStyle w:val="2"/>
        <w:spacing w:line="244" w:lineRule="auto"/>
        <w:rPr>
          <w:highlight w:val="none"/>
        </w:rPr>
      </w:pPr>
    </w:p>
    <w:p w14:paraId="1DCDCF30">
      <w:pPr>
        <w:pStyle w:val="2"/>
        <w:spacing w:line="244" w:lineRule="auto"/>
        <w:rPr>
          <w:highlight w:val="none"/>
        </w:rPr>
      </w:pPr>
    </w:p>
    <w:p w14:paraId="60060E67">
      <w:pPr>
        <w:pStyle w:val="2"/>
        <w:spacing w:line="244" w:lineRule="auto"/>
        <w:rPr>
          <w:highlight w:val="none"/>
        </w:rPr>
      </w:pPr>
    </w:p>
    <w:p w14:paraId="5E53B577">
      <w:pPr>
        <w:pStyle w:val="2"/>
        <w:spacing w:line="244" w:lineRule="auto"/>
        <w:rPr>
          <w:highlight w:val="none"/>
        </w:rPr>
      </w:pPr>
    </w:p>
    <w:p w14:paraId="2ABA775A">
      <w:pPr>
        <w:pStyle w:val="2"/>
        <w:spacing w:line="244" w:lineRule="auto"/>
        <w:rPr>
          <w:highlight w:val="none"/>
        </w:rPr>
      </w:pPr>
    </w:p>
    <w:p w14:paraId="488EB101">
      <w:pPr>
        <w:pStyle w:val="2"/>
        <w:spacing w:line="244" w:lineRule="auto"/>
        <w:rPr>
          <w:highlight w:val="none"/>
        </w:rPr>
      </w:pPr>
    </w:p>
    <w:p w14:paraId="5D58C53F">
      <w:pPr>
        <w:pStyle w:val="2"/>
        <w:spacing w:line="244" w:lineRule="auto"/>
        <w:rPr>
          <w:highlight w:val="none"/>
        </w:rPr>
      </w:pPr>
    </w:p>
    <w:p w14:paraId="11E18F1F">
      <w:pPr>
        <w:pStyle w:val="2"/>
        <w:spacing w:line="244" w:lineRule="auto"/>
        <w:rPr>
          <w:highlight w:val="none"/>
        </w:rPr>
      </w:pPr>
    </w:p>
    <w:p w14:paraId="78AAABCA">
      <w:pPr>
        <w:spacing w:before="78" w:line="219" w:lineRule="auto"/>
        <w:ind w:left="4487"/>
        <w:rPr>
          <w:rFonts w:ascii="宋体" w:hAnsi="宋体" w:eastAsia="宋体" w:cs="宋体"/>
          <w:sz w:val="24"/>
          <w:szCs w:val="24"/>
          <w:highlight w:val="none"/>
        </w:rPr>
      </w:pPr>
      <w:r>
        <w:rPr>
          <w:rFonts w:ascii="宋体" w:hAnsi="宋体" w:eastAsia="宋体" w:cs="宋体"/>
          <w:spacing w:val="-6"/>
          <w:sz w:val="24"/>
          <w:szCs w:val="24"/>
          <w:highlight w:val="none"/>
        </w:rPr>
        <w:t>（结束）</w:t>
      </w:r>
    </w:p>
    <w:sectPr>
      <w:headerReference r:id="rId46" w:type="default"/>
      <w:footerReference r:id="rId47" w:type="default"/>
      <w:pgSz w:w="11907" w:h="16840"/>
      <w:pgMar w:top="1103" w:right="1110" w:bottom="1199" w:left="1303" w:header="854"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59C0">
    <w:pPr>
      <w:spacing w:before="1" w:line="218" w:lineRule="auto"/>
      <w:ind w:left="3115"/>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A746">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32</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33F7">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33</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CAD1">
    <w:pPr>
      <w:spacing w:line="179" w:lineRule="auto"/>
      <w:ind w:left="4357"/>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34</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2400">
    <w:pPr>
      <w:spacing w:line="179" w:lineRule="auto"/>
      <w:ind w:left="4389"/>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35</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1B80">
    <w:pPr>
      <w:spacing w:line="179" w:lineRule="auto"/>
      <w:ind w:left="4389"/>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36</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81D8">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37</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3A54">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38</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0B36">
    <w:pPr>
      <w:spacing w:line="179" w:lineRule="auto"/>
      <w:ind w:left="4391"/>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39</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6634">
    <w:pPr>
      <w:spacing w:line="179" w:lineRule="auto"/>
      <w:ind w:left="4357"/>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40</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D637F">
    <w:pPr>
      <w:spacing w:line="180" w:lineRule="auto"/>
      <w:ind w:left="4385"/>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41</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3D80">
    <w:pPr>
      <w:spacing w:line="180" w:lineRule="auto"/>
      <w:ind w:left="4410"/>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29"/>
        <w:sz w:val="20"/>
        <w:szCs w:val="20"/>
      </w:rPr>
      <w:t xml:space="preserve"> </w:t>
    </w:r>
    <w:r>
      <w:rPr>
        <w:rFonts w:ascii="宋体" w:hAnsi="宋体" w:eastAsia="宋体" w:cs="宋体"/>
        <w:spacing w:val="-8"/>
        <w:sz w:val="20"/>
        <w:szCs w:val="20"/>
      </w:rPr>
      <w:t>1</w:t>
    </w:r>
    <w:r>
      <w:rPr>
        <w:rFonts w:ascii="宋体" w:hAnsi="宋体" w:eastAsia="宋体" w:cs="宋体"/>
        <w:spacing w:val="13"/>
        <w:sz w:val="20"/>
        <w:szCs w:val="20"/>
      </w:rPr>
      <w:t xml:space="preserve"> </w:t>
    </w:r>
    <w:r>
      <w:rPr>
        <w:rFonts w:ascii="宋体" w:hAnsi="宋体" w:eastAsia="宋体" w:cs="宋体"/>
        <w:spacing w:val="-8"/>
        <w:sz w:val="20"/>
        <w:szCs w:val="20"/>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24BD">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42</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7C01">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43</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E93D">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44</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0173">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45</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0BA8">
    <w:pPr>
      <w:spacing w:line="179" w:lineRule="auto"/>
      <w:ind w:left="4402"/>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46</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3593">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47</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94B8">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48</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09BF">
    <w:pPr>
      <w:spacing w:line="179" w:lineRule="auto"/>
      <w:ind w:left="4398"/>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49</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D0BE">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50</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14E8">
    <w:pPr>
      <w:spacing w:line="180"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51</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2048">
    <w:pPr>
      <w:spacing w:line="179" w:lineRule="auto"/>
      <w:ind w:left="4442"/>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1"/>
        <w:sz w:val="20"/>
        <w:szCs w:val="20"/>
      </w:rPr>
      <w:t xml:space="preserve"> </w:t>
    </w:r>
    <w:r>
      <w:rPr>
        <w:rFonts w:ascii="宋体" w:hAnsi="宋体" w:eastAsia="宋体" w:cs="宋体"/>
        <w:spacing w:val="-2"/>
        <w:sz w:val="20"/>
        <w:szCs w:val="20"/>
      </w:rPr>
      <w:t>4</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2CD3">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52</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DBDF">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53</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58F8">
    <w:pPr>
      <w:spacing w:line="179"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54</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7837">
    <w:pPr>
      <w:spacing w:line="178" w:lineRule="auto"/>
      <w:ind w:left="439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55</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106C">
    <w:pPr>
      <w:spacing w:line="180" w:lineRule="auto"/>
      <w:ind w:left="4539"/>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15</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F616">
    <w:pPr>
      <w:spacing w:line="179" w:lineRule="auto"/>
      <w:ind w:left="4390"/>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25</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7B31">
    <w:pPr>
      <w:spacing w:line="179" w:lineRule="auto"/>
      <w:ind w:left="4510"/>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26</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BC0A">
    <w:pPr>
      <w:spacing w:line="179" w:lineRule="auto"/>
      <w:ind w:left="4391"/>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29</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C01B">
    <w:pPr>
      <w:spacing w:line="179"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30</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13A5">
    <w:pPr>
      <w:spacing w:line="180" w:lineRule="auto"/>
      <w:ind w:left="4390"/>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31</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49B0">
    <w:pPr>
      <w:spacing w:line="167" w:lineRule="auto"/>
      <w:ind w:left="10"/>
      <w:rPr>
        <w:rFonts w:ascii="微软雅黑" w:hAnsi="微软雅黑" w:eastAsia="微软雅黑" w:cs="微软雅黑"/>
        <w:sz w:val="20"/>
        <w:szCs w:val="20"/>
      </w:rPr>
    </w:pPr>
    <w:r>
      <w:pict>
        <v:shape id="_x0000_s4097" o:spid="_x0000_s4097" style="position:absolute;left:0pt;margin-left:0pt;margin-top:11.15pt;height:0.5pt;width:451.6pt;z-index:251659264;mso-width-relative:page;mso-height-relative:page;" filled="f" stroked="t" coordsize="9032,10" path="m0,4l9031,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FA53">
    <w:pPr>
      <w:spacing w:line="167" w:lineRule="auto"/>
      <w:ind w:left="10"/>
      <w:rPr>
        <w:rFonts w:ascii="微软雅黑" w:hAnsi="微软雅黑" w:eastAsia="微软雅黑" w:cs="微软雅黑"/>
        <w:sz w:val="20"/>
        <w:szCs w:val="20"/>
      </w:rPr>
    </w:pPr>
    <w:r>
      <w:pict>
        <v:shape id="_x0000_s4106" o:spid="_x0000_s4106" style="position:absolute;left:0pt;margin-left:0pt;margin-top:11.15pt;height:0.5pt;width:446.25pt;z-index:251665408;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73C8">
    <w:pPr>
      <w:spacing w:line="167" w:lineRule="auto"/>
      <w:ind w:left="10"/>
      <w:rPr>
        <w:rFonts w:ascii="微软雅黑" w:hAnsi="微软雅黑" w:eastAsia="微软雅黑" w:cs="微软雅黑"/>
        <w:sz w:val="20"/>
        <w:szCs w:val="20"/>
      </w:rPr>
    </w:pPr>
    <w:r>
      <w:pict>
        <v:shape id="_x0000_s4098" o:spid="_x0000_s4098" style="position:absolute;left:0pt;margin-left:0pt;margin-top:11.15pt;height:0.5pt;width:451.6pt;z-index:251660288;mso-width-relative:page;mso-height-relative:page;" filled="f" stroked="t" coordsize="9032,10" path="m0,4l9031,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B60F">
    <w:pPr>
      <w:spacing w:line="167" w:lineRule="auto"/>
      <w:ind w:left="13"/>
      <w:rPr>
        <w:rFonts w:ascii="微软雅黑" w:hAnsi="微软雅黑" w:eastAsia="微软雅黑" w:cs="微软雅黑"/>
        <w:sz w:val="20"/>
        <w:szCs w:val="20"/>
      </w:rPr>
    </w:pPr>
    <w:r>
      <w:pict>
        <v:shape id="_x0000_s4099" o:spid="_x0000_s4099" style="position:absolute;left:0pt;margin-left:0.15pt;margin-top:11.15pt;height:0.5pt;width:446.25pt;z-index:251661312;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1710">
    <w:pPr>
      <w:spacing w:line="167" w:lineRule="auto"/>
      <w:jc w:val="right"/>
      <w:rPr>
        <w:rFonts w:ascii="微软雅黑" w:hAnsi="微软雅黑" w:eastAsia="微软雅黑" w:cs="微软雅黑"/>
        <w:sz w:val="20"/>
        <w:szCs w:val="20"/>
      </w:rPr>
    </w:pPr>
    <w:r>
      <w:pict>
        <v:shape id="_x0000_s4100" o:spid="_x0000_s4100" style="position:absolute;left:0pt;margin-left:0pt;margin-top:11.15pt;height:0.5pt;width:446.25pt;z-index:251662336;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E0B3">
    <w:pPr>
      <w:spacing w:line="167" w:lineRule="auto"/>
      <w:ind w:left="10"/>
      <w:rPr>
        <w:rFonts w:ascii="微软雅黑" w:hAnsi="微软雅黑" w:eastAsia="微软雅黑" w:cs="微软雅黑"/>
        <w:sz w:val="20"/>
        <w:szCs w:val="20"/>
      </w:rPr>
    </w:pPr>
    <w:r>
      <w:pict>
        <v:shape id="_x0000_s4101" o:spid="_x0000_s4101" style="position:absolute;left:0pt;margin-left:0pt;margin-top:11.15pt;height:0.5pt;width:446.25pt;z-index:251663360;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2E41">
    <w:pPr>
      <w:spacing w:line="167" w:lineRule="auto"/>
      <w:ind w:left="10"/>
      <w:rPr>
        <w:rFonts w:ascii="微软雅黑" w:hAnsi="微软雅黑" w:eastAsia="微软雅黑" w:cs="微软雅黑"/>
        <w:sz w:val="20"/>
        <w:szCs w:val="20"/>
      </w:rPr>
    </w:pPr>
    <w:r>
      <w:pict>
        <v:shape id="_x0000_s4102" o:spid="_x0000_s4102" style="position:absolute;left:0pt;margin-left:0pt;margin-top:11.15pt;height:0.5pt;width:446.25pt;z-index:251664384;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ECDD">
    <w:pPr>
      <w:spacing w:line="167" w:lineRule="auto"/>
      <w:ind w:left="10"/>
      <w:rPr>
        <w:rFonts w:ascii="微软雅黑" w:hAnsi="微软雅黑" w:eastAsia="微软雅黑" w:cs="微软雅黑"/>
        <w:sz w:val="20"/>
        <w:szCs w:val="20"/>
      </w:rPr>
    </w:pPr>
    <w:r>
      <w:pict>
        <v:shape id="_x0000_s4103" o:spid="_x0000_s4103" style="position:absolute;left:0pt;margin-left:0pt;margin-top:11.15pt;height:0.5pt;width:446.25pt;z-index:251663360;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EBD8">
    <w:pPr>
      <w:spacing w:line="167" w:lineRule="auto"/>
      <w:ind w:left="10"/>
      <w:rPr>
        <w:rFonts w:ascii="微软雅黑" w:hAnsi="微软雅黑" w:eastAsia="微软雅黑" w:cs="微软雅黑"/>
        <w:sz w:val="20"/>
        <w:szCs w:val="20"/>
      </w:rPr>
    </w:pPr>
    <w:r>
      <w:pict>
        <v:shape id="_x0000_s4104" o:spid="_x0000_s4104" style="position:absolute;left:0pt;margin-left:0pt;margin-top:11.15pt;height:0.5pt;width:446.25pt;z-index:251664384;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0F84">
    <w:pPr>
      <w:spacing w:line="167" w:lineRule="auto"/>
      <w:jc w:val="right"/>
      <w:rPr>
        <w:rFonts w:ascii="微软雅黑" w:hAnsi="微软雅黑" w:eastAsia="微软雅黑" w:cs="微软雅黑"/>
        <w:sz w:val="20"/>
        <w:szCs w:val="20"/>
      </w:rPr>
    </w:pPr>
    <w:r>
      <w:pict>
        <v:shape id="_x0000_s4105" o:spid="_x0000_s4105" style="position:absolute;left:0pt;margin-left:0pt;margin-top:11.15pt;height:0.5pt;width:446.25pt;z-index:251662336;mso-width-relative:page;mso-height-relative:page;" filled="f" stroked="t" coordsize="8925,10" path="m0,4l8925,4e">
          <v:fill on="f" focussize="0,0"/>
          <v:stroke weight="0.48pt" color="#000000" miterlimit="2" joinstyle="bevel"/>
          <v:imagedata o:title=""/>
          <o:lock v:ext="edit"/>
        </v:shape>
      </w:pict>
    </w:r>
    <w:r>
      <w:rPr>
        <w:rFonts w:ascii="微软雅黑" w:hAnsi="微软雅黑" w:eastAsia="微软雅黑" w:cs="微软雅黑"/>
        <w:spacing w:val="9"/>
        <w:sz w:val="20"/>
        <w:szCs w:val="20"/>
      </w:rPr>
      <w:t>中科高盛咨询集团有限公司</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30F89"/>
    <w:multiLevelType w:val="singleLevel"/>
    <w:tmpl w:val="8CE30F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132AF3"/>
    <w:rsid w:val="14127C23"/>
    <w:rsid w:val="15F966E5"/>
    <w:rsid w:val="1EAE72DF"/>
    <w:rsid w:val="273F3CDE"/>
    <w:rsid w:val="2E3B524E"/>
    <w:rsid w:val="44FC7513"/>
    <w:rsid w:val="453128A5"/>
    <w:rsid w:val="4F78715E"/>
    <w:rsid w:val="59EE419C"/>
    <w:rsid w:val="5CF5396D"/>
    <w:rsid w:val="707C1BF0"/>
    <w:rsid w:val="72125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33.xml"/><Relationship Id="rId46" Type="http://schemas.openxmlformats.org/officeDocument/2006/relationships/header" Target="header10.xml"/><Relationship Id="rId45" Type="http://schemas.openxmlformats.org/officeDocument/2006/relationships/footer" Target="footer32.xml"/><Relationship Id="rId44" Type="http://schemas.openxmlformats.org/officeDocument/2006/relationships/header" Target="header9.xml"/><Relationship Id="rId43" Type="http://schemas.openxmlformats.org/officeDocument/2006/relationships/footer" Target="footer31.xml"/><Relationship Id="rId42" Type="http://schemas.openxmlformats.org/officeDocument/2006/relationships/header" Target="header8.xml"/><Relationship Id="rId41" Type="http://schemas.openxmlformats.org/officeDocument/2006/relationships/footer" Target="footer30.xml"/><Relationship Id="rId40" Type="http://schemas.openxmlformats.org/officeDocument/2006/relationships/header" Target="header7.xml"/><Relationship Id="rId4" Type="http://schemas.openxmlformats.org/officeDocument/2006/relationships/endnotes" Target="endnotes.xml"/><Relationship Id="rId39" Type="http://schemas.openxmlformats.org/officeDocument/2006/relationships/footer" Target="footer29.xml"/><Relationship Id="rId38" Type="http://schemas.openxmlformats.org/officeDocument/2006/relationships/header" Target="header6.xml"/><Relationship Id="rId37" Type="http://schemas.openxmlformats.org/officeDocument/2006/relationships/footer" Target="footer28.xml"/><Relationship Id="rId36" Type="http://schemas.openxmlformats.org/officeDocument/2006/relationships/header" Target="header5.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header" Target="header4.xml"/><Relationship Id="rId31" Type="http://schemas.openxmlformats.org/officeDocument/2006/relationships/footer" Target="footer24.xml"/><Relationship Id="rId30" Type="http://schemas.openxmlformats.org/officeDocument/2006/relationships/header" Target="header3.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header" Target="header2.xml"/><Relationship Id="rId26" Type="http://schemas.openxmlformats.org/officeDocument/2006/relationships/footer" Target="footer21.xml"/><Relationship Id="rId25" Type="http://schemas.openxmlformats.org/officeDocument/2006/relationships/header" Target="header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16879</Words>
  <Characters>17802</Characters>
  <TotalTime>23</TotalTime>
  <ScaleCrop>false</ScaleCrop>
  <LinksUpToDate>false</LinksUpToDate>
  <CharactersWithSpaces>19648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2025-04-10T19:07:00Z</dcterms:created>
  <dc:creator>周媛媛</dc:creator>
  <cp:lastModifiedBy>TωT</cp:lastModifiedBy>
  <dcterms:modified xsi:type="dcterms:W3CDTF">2025-04-29T06:13:51Z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2025-04-18T09:27:53Z</vt:filetime>
  </property>
  <property fmtid="{D5CDD505-2E9C-101B-9397-08002B2CF9AE}" pid="4" name="KSOTemplateDocerSaveRecord">
    <vt:lpwstr>eyJoZGlkIjoiMTQ1MjViMTYxN2JhZGMzZmJmZDM2YTAyZDMzMjFmZjQiLCJ1c2VySWQiOiIyMzUxMzM1NTQifQ==</vt:lpwstr>
  </property>
  <property fmtid="{D5CDD505-2E9C-101B-9397-08002B2CF9AE}" pid="5" name="KSOProductBuildVer">
    <vt:lpwstr>2052-12.1.0.20784</vt:lpwstr>
  </property>
  <property fmtid="{D5CDD505-2E9C-101B-9397-08002B2CF9AE}" pid="6" name="ICV">
    <vt:lpwstr>8A6188B26EE34AEF921C00D248833EEE_13</vt:lpwstr>
  </property>
</Properties>
</file>