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ABEC">
      <w:pPr>
        <w:pStyle w:val="6"/>
        <w:spacing w:line="245" w:lineRule="auto"/>
        <w:rPr>
          <w:color w:val="auto"/>
          <w:highlight w:val="none"/>
        </w:rPr>
      </w:pPr>
    </w:p>
    <w:p w14:paraId="115C22A0">
      <w:pPr>
        <w:pStyle w:val="6"/>
        <w:spacing w:line="245" w:lineRule="auto"/>
        <w:rPr>
          <w:color w:val="auto"/>
          <w:highlight w:val="none"/>
        </w:rPr>
      </w:pPr>
    </w:p>
    <w:p w14:paraId="00D3B278">
      <w:pPr>
        <w:pStyle w:val="6"/>
        <w:spacing w:line="245" w:lineRule="auto"/>
        <w:rPr>
          <w:color w:val="auto"/>
          <w:highlight w:val="none"/>
        </w:rPr>
      </w:pPr>
    </w:p>
    <w:p w14:paraId="6CC3ACD0">
      <w:pPr>
        <w:pStyle w:val="6"/>
        <w:spacing w:line="246" w:lineRule="auto"/>
        <w:rPr>
          <w:color w:val="auto"/>
          <w:highlight w:val="none"/>
        </w:rPr>
      </w:pPr>
    </w:p>
    <w:p w14:paraId="35027367">
      <w:pPr>
        <w:pStyle w:val="6"/>
        <w:spacing w:line="246" w:lineRule="auto"/>
        <w:rPr>
          <w:color w:val="auto"/>
          <w:highlight w:val="none"/>
        </w:rPr>
      </w:pPr>
    </w:p>
    <w:p w14:paraId="33ADD9ED">
      <w:pPr>
        <w:pStyle w:val="6"/>
        <w:spacing w:line="246" w:lineRule="auto"/>
        <w:rPr>
          <w:color w:val="auto"/>
          <w:highlight w:val="none"/>
        </w:rPr>
      </w:pPr>
    </w:p>
    <w:p w14:paraId="13CEA911">
      <w:pPr>
        <w:pStyle w:val="6"/>
        <w:spacing w:line="246" w:lineRule="auto"/>
        <w:rPr>
          <w:color w:val="auto"/>
          <w:highlight w:val="none"/>
        </w:rPr>
      </w:pPr>
    </w:p>
    <w:p w14:paraId="36DD4B92">
      <w:pPr>
        <w:spacing w:before="558" w:line="212" w:lineRule="auto"/>
        <w:ind w:left="599"/>
        <w:outlineLvl w:val="9"/>
        <w:rPr>
          <w:rFonts w:ascii="微软雅黑" w:hAnsi="微软雅黑" w:eastAsia="微软雅黑" w:cs="微软雅黑"/>
          <w:color w:val="auto"/>
          <w:sz w:val="130"/>
          <w:szCs w:val="130"/>
          <w:highlight w:val="none"/>
        </w:rPr>
      </w:pPr>
      <w:bookmarkStart w:id="0" w:name="_Toc4338"/>
      <w:r>
        <w:rPr>
          <w:rFonts w:ascii="微软雅黑" w:hAnsi="微软雅黑" w:eastAsia="微软雅黑" w:cs="微软雅黑"/>
          <w:color w:val="auto"/>
          <w:spacing w:val="125"/>
          <w:sz w:val="130"/>
          <w:szCs w:val="130"/>
          <w:highlight w:val="none"/>
        </w:rPr>
        <w:t>询价通知书</w:t>
      </w:r>
      <w:bookmarkEnd w:id="0"/>
    </w:p>
    <w:p w14:paraId="0058D4BD">
      <w:pPr>
        <w:pStyle w:val="6"/>
        <w:spacing w:line="295" w:lineRule="auto"/>
        <w:rPr>
          <w:color w:val="auto"/>
          <w:highlight w:val="none"/>
        </w:rPr>
      </w:pPr>
    </w:p>
    <w:p w14:paraId="02386102">
      <w:pPr>
        <w:pStyle w:val="6"/>
        <w:spacing w:line="295" w:lineRule="auto"/>
        <w:rPr>
          <w:color w:val="auto"/>
          <w:highlight w:val="none"/>
        </w:rPr>
      </w:pPr>
    </w:p>
    <w:p w14:paraId="4880B9AD">
      <w:pPr>
        <w:spacing w:before="98" w:line="220" w:lineRule="auto"/>
        <w:ind w:left="2373"/>
        <w:rPr>
          <w:rFonts w:ascii="宋体" w:hAnsi="宋体" w:eastAsia="宋体" w:cs="宋体"/>
          <w:color w:val="auto"/>
          <w:sz w:val="30"/>
          <w:szCs w:val="30"/>
          <w:highlight w:val="none"/>
        </w:rPr>
      </w:pPr>
      <w:r>
        <w:rPr>
          <w:rFonts w:ascii="宋体" w:hAnsi="宋体" w:eastAsia="宋体" w:cs="宋体"/>
          <w:color w:val="auto"/>
          <w:spacing w:val="-2"/>
          <w:sz w:val="30"/>
          <w:szCs w:val="30"/>
          <w:highlight w:val="none"/>
        </w:rPr>
        <w:t>（编号：CQIP-20250</w:t>
      </w:r>
      <w:r>
        <w:rPr>
          <w:rFonts w:hint="eastAsia" w:ascii="宋体" w:hAnsi="宋体" w:eastAsia="宋体" w:cs="宋体"/>
          <w:color w:val="auto"/>
          <w:spacing w:val="-2"/>
          <w:sz w:val="30"/>
          <w:szCs w:val="30"/>
          <w:highlight w:val="none"/>
          <w:lang w:val="en-US" w:eastAsia="zh-CN"/>
        </w:rPr>
        <w:t>409</w:t>
      </w:r>
      <w:r>
        <w:rPr>
          <w:rFonts w:ascii="宋体" w:hAnsi="宋体" w:eastAsia="宋体" w:cs="宋体"/>
          <w:color w:val="auto"/>
          <w:spacing w:val="-2"/>
          <w:sz w:val="30"/>
          <w:szCs w:val="30"/>
          <w:highlight w:val="none"/>
        </w:rPr>
        <w:t>01）</w:t>
      </w:r>
    </w:p>
    <w:p w14:paraId="092027A8">
      <w:pPr>
        <w:pStyle w:val="6"/>
        <w:spacing w:line="251" w:lineRule="auto"/>
        <w:rPr>
          <w:color w:val="auto"/>
          <w:highlight w:val="none"/>
        </w:rPr>
      </w:pPr>
    </w:p>
    <w:p w14:paraId="6C3FAC5C">
      <w:pPr>
        <w:pStyle w:val="6"/>
        <w:spacing w:line="251" w:lineRule="auto"/>
        <w:rPr>
          <w:color w:val="auto"/>
          <w:highlight w:val="none"/>
        </w:rPr>
      </w:pPr>
    </w:p>
    <w:p w14:paraId="1DEA9AC1">
      <w:pPr>
        <w:pStyle w:val="6"/>
        <w:spacing w:line="251" w:lineRule="auto"/>
        <w:rPr>
          <w:color w:val="auto"/>
          <w:highlight w:val="none"/>
        </w:rPr>
      </w:pPr>
    </w:p>
    <w:p w14:paraId="6F1FF44F">
      <w:pPr>
        <w:pStyle w:val="6"/>
        <w:spacing w:line="251" w:lineRule="auto"/>
        <w:rPr>
          <w:color w:val="auto"/>
          <w:highlight w:val="none"/>
        </w:rPr>
      </w:pPr>
    </w:p>
    <w:p w14:paraId="0323ED03">
      <w:pPr>
        <w:pStyle w:val="6"/>
        <w:spacing w:line="251" w:lineRule="auto"/>
        <w:rPr>
          <w:color w:val="auto"/>
          <w:highlight w:val="none"/>
        </w:rPr>
      </w:pPr>
    </w:p>
    <w:p w14:paraId="08062984">
      <w:pPr>
        <w:pStyle w:val="6"/>
        <w:spacing w:line="251" w:lineRule="auto"/>
        <w:rPr>
          <w:color w:val="auto"/>
          <w:highlight w:val="none"/>
        </w:rPr>
      </w:pPr>
    </w:p>
    <w:p w14:paraId="6345D85B">
      <w:pPr>
        <w:pStyle w:val="6"/>
        <w:spacing w:line="251" w:lineRule="auto"/>
        <w:rPr>
          <w:color w:val="auto"/>
          <w:highlight w:val="none"/>
        </w:rPr>
      </w:pPr>
    </w:p>
    <w:p w14:paraId="3FD27BE3">
      <w:pPr>
        <w:pStyle w:val="6"/>
        <w:spacing w:line="251" w:lineRule="auto"/>
        <w:rPr>
          <w:color w:val="auto"/>
          <w:highlight w:val="none"/>
        </w:rPr>
      </w:pPr>
    </w:p>
    <w:p w14:paraId="5E007671">
      <w:pPr>
        <w:spacing w:before="150" w:line="209" w:lineRule="auto"/>
        <w:ind w:left="2459" w:leftChars="290" w:hanging="1850" w:hangingChars="500"/>
        <w:rPr>
          <w:rFonts w:hint="eastAsia" w:ascii="方正仿宋_GBK" w:hAnsi="方正仿宋_GBK" w:eastAsia="方正仿宋_GBK" w:cs="方正仿宋_GBK"/>
          <w:color w:val="auto"/>
          <w:sz w:val="32"/>
          <w:szCs w:val="32"/>
          <w:highlight w:val="none"/>
          <w:lang w:eastAsia="zh-CN"/>
        </w:rPr>
      </w:pPr>
      <w:r>
        <w:rPr>
          <w:rFonts w:ascii="黑体" w:hAnsi="黑体" w:eastAsia="黑体" w:cs="黑体"/>
          <w:color w:val="auto"/>
          <w:spacing w:val="10"/>
          <w:sz w:val="35"/>
          <w:szCs w:val="35"/>
          <w:highlight w:val="none"/>
        </w:rPr>
        <w:t>项目名称：</w:t>
      </w:r>
      <w:r>
        <w:rPr>
          <w:rFonts w:hint="eastAsia" w:ascii="方正仿宋_GBK" w:hAnsi="方正仿宋_GBK" w:eastAsia="方正仿宋_GBK" w:cs="方正仿宋_GBK"/>
          <w:b w:val="0"/>
          <w:bCs w:val="0"/>
          <w:color w:val="auto"/>
          <w:spacing w:val="10"/>
          <w:sz w:val="32"/>
          <w:szCs w:val="32"/>
          <w:highlight w:val="none"/>
          <w:lang w:val="en-US" w:eastAsia="zh-CN"/>
        </w:rPr>
        <w:t>原</w:t>
      </w:r>
      <w:r>
        <w:rPr>
          <w:rFonts w:hint="eastAsia" w:ascii="方正仿宋_GBK" w:hAnsi="方正仿宋_GBK" w:eastAsia="方正仿宋_GBK" w:cs="方正仿宋_GBK"/>
          <w:color w:val="auto"/>
          <w:spacing w:val="10"/>
          <w:sz w:val="32"/>
          <w:szCs w:val="32"/>
          <w:highlight w:val="none"/>
          <w:lang w:eastAsia="zh-CN"/>
        </w:rPr>
        <w:t>重庆汽车工程技术学院建设工程一期（6-12#、13#楼）</w:t>
      </w:r>
      <w:r>
        <w:rPr>
          <w:rFonts w:hint="eastAsia" w:ascii="方正仿宋_GBK" w:hAnsi="方正仿宋_GBK" w:eastAsia="方正仿宋_GBK" w:cs="方正仿宋_GBK"/>
          <w:color w:val="auto"/>
          <w:spacing w:val="10"/>
          <w:sz w:val="32"/>
          <w:szCs w:val="32"/>
          <w:highlight w:val="none"/>
          <w:lang w:val="en-US" w:eastAsia="zh-CN"/>
        </w:rPr>
        <w:t>房屋测绘（第三次）</w:t>
      </w:r>
    </w:p>
    <w:p w14:paraId="469392E2">
      <w:pPr>
        <w:pStyle w:val="6"/>
        <w:spacing w:line="265" w:lineRule="auto"/>
        <w:rPr>
          <w:color w:val="auto"/>
          <w:highlight w:val="none"/>
        </w:rPr>
      </w:pPr>
    </w:p>
    <w:p w14:paraId="40256899">
      <w:pPr>
        <w:pStyle w:val="6"/>
        <w:spacing w:line="265" w:lineRule="auto"/>
        <w:rPr>
          <w:color w:val="auto"/>
          <w:highlight w:val="none"/>
        </w:rPr>
      </w:pPr>
    </w:p>
    <w:p w14:paraId="1D9DD650">
      <w:pPr>
        <w:pStyle w:val="6"/>
        <w:spacing w:line="266" w:lineRule="auto"/>
        <w:rPr>
          <w:color w:val="auto"/>
          <w:highlight w:val="none"/>
        </w:rPr>
      </w:pPr>
    </w:p>
    <w:p w14:paraId="4F1CAB7B">
      <w:pPr>
        <w:pStyle w:val="6"/>
        <w:spacing w:line="266" w:lineRule="auto"/>
        <w:rPr>
          <w:color w:val="auto"/>
          <w:highlight w:val="none"/>
        </w:rPr>
      </w:pPr>
    </w:p>
    <w:p w14:paraId="5C89B11B">
      <w:pPr>
        <w:pStyle w:val="6"/>
        <w:spacing w:line="266" w:lineRule="auto"/>
        <w:rPr>
          <w:color w:val="auto"/>
          <w:highlight w:val="none"/>
        </w:rPr>
      </w:pPr>
    </w:p>
    <w:p w14:paraId="3DBE2CEE">
      <w:pPr>
        <w:pStyle w:val="6"/>
        <w:spacing w:line="266" w:lineRule="auto"/>
        <w:rPr>
          <w:color w:val="auto"/>
          <w:highlight w:val="none"/>
        </w:rPr>
      </w:pPr>
    </w:p>
    <w:p w14:paraId="70BFE397">
      <w:pPr>
        <w:pStyle w:val="6"/>
        <w:spacing w:line="266" w:lineRule="auto"/>
        <w:rPr>
          <w:color w:val="auto"/>
          <w:highlight w:val="none"/>
        </w:rPr>
      </w:pPr>
    </w:p>
    <w:p w14:paraId="1F7C8B06">
      <w:pPr>
        <w:spacing w:before="150" w:line="209" w:lineRule="auto"/>
        <w:ind w:left="618"/>
        <w:rPr>
          <w:rFonts w:ascii="微软雅黑" w:hAnsi="微软雅黑" w:eastAsia="微软雅黑" w:cs="微软雅黑"/>
          <w:color w:val="auto"/>
          <w:sz w:val="35"/>
          <w:szCs w:val="35"/>
          <w:highlight w:val="none"/>
        </w:rPr>
      </w:pPr>
      <w:r>
        <w:rPr>
          <w:rFonts w:ascii="黑体" w:hAnsi="黑体" w:eastAsia="黑体" w:cs="黑体"/>
          <w:color w:val="auto"/>
          <w:spacing w:val="7"/>
          <w:sz w:val="35"/>
          <w:szCs w:val="35"/>
          <w:highlight w:val="none"/>
        </w:rPr>
        <w:t>采 购 人：</w:t>
      </w:r>
      <w:r>
        <w:rPr>
          <w:rFonts w:hint="eastAsia" w:ascii="方正仿宋_GBK" w:hAnsi="方正仿宋_GBK" w:eastAsia="方正仿宋_GBK" w:cs="方正仿宋_GBK"/>
          <w:color w:val="auto"/>
          <w:spacing w:val="7"/>
          <w:sz w:val="32"/>
          <w:szCs w:val="32"/>
          <w:highlight w:val="none"/>
        </w:rPr>
        <w:t>重庆理工职业学院</w:t>
      </w:r>
    </w:p>
    <w:p w14:paraId="28349A3D">
      <w:pPr>
        <w:pStyle w:val="6"/>
        <w:spacing w:line="303" w:lineRule="auto"/>
        <w:rPr>
          <w:color w:val="auto"/>
          <w:highlight w:val="none"/>
        </w:rPr>
      </w:pPr>
    </w:p>
    <w:p w14:paraId="5551D8CC">
      <w:pPr>
        <w:pStyle w:val="6"/>
        <w:spacing w:line="304" w:lineRule="auto"/>
        <w:rPr>
          <w:color w:val="auto"/>
          <w:highlight w:val="none"/>
        </w:rPr>
      </w:pPr>
    </w:p>
    <w:p w14:paraId="77DC794C">
      <w:pPr>
        <w:pStyle w:val="6"/>
        <w:spacing w:line="304" w:lineRule="auto"/>
        <w:rPr>
          <w:color w:val="auto"/>
          <w:highlight w:val="none"/>
        </w:rPr>
      </w:pPr>
    </w:p>
    <w:p w14:paraId="694388B7">
      <w:pPr>
        <w:spacing w:before="151" w:line="207" w:lineRule="auto"/>
        <w:ind w:left="2994"/>
        <w:rPr>
          <w:rFonts w:ascii="微软雅黑" w:hAnsi="微软雅黑" w:eastAsia="微软雅黑" w:cs="微软雅黑"/>
          <w:b w:val="0"/>
          <w:bCs w:val="0"/>
          <w:color w:val="auto"/>
          <w:sz w:val="35"/>
          <w:szCs w:val="35"/>
          <w:highlight w:val="none"/>
        </w:rPr>
      </w:pPr>
      <w:r>
        <w:rPr>
          <w:rFonts w:ascii="微软雅黑" w:hAnsi="微软雅黑" w:eastAsia="微软雅黑" w:cs="微软雅黑"/>
          <w:b w:val="0"/>
          <w:bCs w:val="0"/>
          <w:color w:val="auto"/>
          <w:spacing w:val="5"/>
          <w:sz w:val="35"/>
          <w:szCs w:val="35"/>
          <w:highlight w:val="none"/>
        </w:rPr>
        <w:t>二〇二五年</w:t>
      </w:r>
      <w:r>
        <w:rPr>
          <w:rFonts w:hint="eastAsia" w:ascii="微软雅黑" w:hAnsi="微软雅黑" w:eastAsia="微软雅黑" w:cs="微软雅黑"/>
          <w:b w:val="0"/>
          <w:bCs w:val="0"/>
          <w:color w:val="auto"/>
          <w:spacing w:val="5"/>
          <w:sz w:val="35"/>
          <w:szCs w:val="35"/>
          <w:highlight w:val="none"/>
          <w:lang w:val="en-US" w:eastAsia="zh-CN"/>
        </w:rPr>
        <w:t>四</w:t>
      </w:r>
      <w:r>
        <w:rPr>
          <w:rFonts w:ascii="微软雅黑" w:hAnsi="微软雅黑" w:eastAsia="微软雅黑" w:cs="微软雅黑"/>
          <w:b w:val="0"/>
          <w:bCs w:val="0"/>
          <w:color w:val="auto"/>
          <w:spacing w:val="5"/>
          <w:sz w:val="35"/>
          <w:szCs w:val="35"/>
          <w:highlight w:val="none"/>
        </w:rPr>
        <w:t>月</w:t>
      </w:r>
    </w:p>
    <w:p w14:paraId="2929422E">
      <w:pPr>
        <w:pStyle w:val="6"/>
        <w:rPr>
          <w:color w:val="auto"/>
          <w:highlight w:val="none"/>
        </w:rPr>
        <w:sectPr>
          <w:footerReference r:id="rId7" w:type="first"/>
          <w:footerReference r:id="rId5" w:type="default"/>
          <w:footerReference r:id="rId6" w:type="even"/>
          <w:pgSz w:w="11907" w:h="16840"/>
          <w:pgMar w:top="1114" w:right="1189" w:bottom="1221" w:left="1786" w:header="0" w:footer="853" w:gutter="0"/>
          <w:pgNumType w:fmt="decimal" w:start="1"/>
          <w:cols w:space="720" w:num="1"/>
          <w:titlePg/>
        </w:sectPr>
      </w:pPr>
    </w:p>
    <w:p w14:paraId="66E547E8">
      <w:pPr>
        <w:spacing w:before="80" w:line="470" w:lineRule="exact"/>
        <w:jc w:val="center"/>
        <w:outlineLvl w:val="0"/>
        <w:rPr>
          <w:rFonts w:ascii="黑体" w:hAnsi="黑体" w:eastAsia="黑体" w:cs="黑体"/>
          <w:color w:val="auto"/>
          <w:sz w:val="35"/>
          <w:szCs w:val="35"/>
          <w:highlight w:val="none"/>
        </w:rPr>
      </w:pPr>
      <w:bookmarkStart w:id="1" w:name="bookmark1"/>
      <w:bookmarkEnd w:id="1"/>
      <w:r>
        <w:rPr>
          <w:rFonts w:ascii="黑体" w:hAnsi="黑体" w:eastAsia="黑体" w:cs="黑体"/>
          <w:color w:val="auto"/>
          <w:spacing w:val="7"/>
          <w:position w:val="1"/>
          <w:sz w:val="35"/>
          <w:szCs w:val="35"/>
          <w:highlight w:val="none"/>
        </w:rPr>
        <w:t>第一篇 询价邀请书</w:t>
      </w:r>
    </w:p>
    <w:p w14:paraId="0A029479">
      <w:pPr>
        <w:spacing w:before="49" w:line="305" w:lineRule="auto"/>
        <w:ind w:right="81" w:firstLine="502"/>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重庆理工职业学院(以</w:t>
      </w:r>
      <w:r>
        <w:rPr>
          <w:rFonts w:ascii="宋体" w:hAnsi="宋体" w:eastAsia="宋体" w:cs="宋体"/>
          <w:color w:val="auto"/>
          <w:spacing w:val="-1"/>
          <w:sz w:val="24"/>
          <w:szCs w:val="24"/>
          <w:highlight w:val="none"/>
        </w:rPr>
        <w:t>下简称“采购人</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”)对</w:t>
      </w:r>
      <w:r>
        <w:rPr>
          <w:rFonts w:hint="eastAsia" w:ascii="宋体" w:hAnsi="宋体" w:eastAsia="宋体" w:cs="宋体"/>
          <w:color w:val="auto"/>
          <w:spacing w:val="-1"/>
          <w:sz w:val="24"/>
          <w:szCs w:val="24"/>
          <w:highlight w:val="none"/>
          <w:lang w:val="en-US" w:eastAsia="zh-CN"/>
        </w:rPr>
        <w:t>原</w:t>
      </w:r>
      <w:r>
        <w:rPr>
          <w:rFonts w:hint="eastAsia" w:ascii="宋体" w:hAnsi="宋体" w:eastAsia="宋体" w:cs="宋体"/>
          <w:color w:val="auto"/>
          <w:spacing w:val="1"/>
          <w:sz w:val="24"/>
          <w:szCs w:val="24"/>
          <w:highlight w:val="none"/>
          <w:lang w:eastAsia="zh-CN"/>
        </w:rPr>
        <w:t>重庆汽车工程技术学院建设工程一期（6-12#、13#楼）</w:t>
      </w:r>
      <w:r>
        <w:rPr>
          <w:rFonts w:hint="eastAsia" w:ascii="宋体" w:hAnsi="宋体" w:eastAsia="宋体" w:cs="宋体"/>
          <w:color w:val="auto"/>
          <w:spacing w:val="-1"/>
          <w:sz w:val="24"/>
          <w:szCs w:val="24"/>
          <w:highlight w:val="none"/>
          <w:lang w:val="en-US" w:eastAsia="zh-CN"/>
        </w:rPr>
        <w:t>房屋测绘</w:t>
      </w:r>
      <w:r>
        <w:rPr>
          <w:rFonts w:hint="eastAsia" w:ascii="宋体" w:hAnsi="宋体" w:eastAsia="宋体" w:cs="宋体"/>
          <w:color w:val="auto"/>
          <w:spacing w:val="1"/>
          <w:sz w:val="24"/>
          <w:szCs w:val="24"/>
          <w:highlight w:val="none"/>
          <w:lang w:eastAsia="zh-CN"/>
        </w:rPr>
        <w:t>项目（</w:t>
      </w:r>
      <w:r>
        <w:rPr>
          <w:rFonts w:hint="eastAsia" w:ascii="宋体" w:hAnsi="宋体" w:eastAsia="宋体" w:cs="宋体"/>
          <w:color w:val="auto"/>
          <w:spacing w:val="1"/>
          <w:sz w:val="24"/>
          <w:szCs w:val="24"/>
          <w:highlight w:val="none"/>
          <w:lang w:val="en-US" w:eastAsia="zh-CN"/>
        </w:rPr>
        <w:t>第三次</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进行询价采购，欢迎有资格的供应商参加</w:t>
      </w:r>
      <w:r>
        <w:rPr>
          <w:rFonts w:ascii="宋体" w:hAnsi="宋体" w:eastAsia="宋体" w:cs="宋体"/>
          <w:color w:val="auto"/>
          <w:spacing w:val="-2"/>
          <w:sz w:val="24"/>
          <w:szCs w:val="24"/>
          <w:highlight w:val="none"/>
        </w:rPr>
        <w:t>询价比选。</w:t>
      </w:r>
    </w:p>
    <w:p w14:paraId="311FAF6D">
      <w:pPr>
        <w:spacing w:line="227" w:lineRule="auto"/>
        <w:ind w:left="485"/>
        <w:outlineLvl w:val="1"/>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一、招标项目内容</w:t>
      </w:r>
    </w:p>
    <w:tbl>
      <w:tblPr>
        <w:tblStyle w:val="12"/>
        <w:tblW w:w="963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6"/>
        <w:gridCol w:w="1284"/>
        <w:gridCol w:w="1092"/>
        <w:gridCol w:w="1284"/>
        <w:gridCol w:w="1680"/>
      </w:tblGrid>
      <w:tr w14:paraId="1CBA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296" w:type="dxa"/>
            <w:vAlign w:val="top"/>
          </w:tcPr>
          <w:p w14:paraId="7446732B">
            <w:pPr>
              <w:spacing w:before="210" w:line="221" w:lineRule="auto"/>
              <w:ind w:left="122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项目名称</w:t>
            </w:r>
          </w:p>
        </w:tc>
        <w:tc>
          <w:tcPr>
            <w:tcW w:w="1284" w:type="dxa"/>
            <w:vAlign w:val="top"/>
          </w:tcPr>
          <w:p w14:paraId="7E4FBF17">
            <w:pPr>
              <w:spacing w:before="54" w:line="221" w:lineRule="auto"/>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响应保证金</w:t>
            </w:r>
          </w:p>
          <w:p w14:paraId="272EC931">
            <w:pPr>
              <w:spacing w:before="25" w:line="216" w:lineRule="auto"/>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（万元）</w:t>
            </w:r>
          </w:p>
        </w:tc>
        <w:tc>
          <w:tcPr>
            <w:tcW w:w="1092" w:type="dxa"/>
            <w:vAlign w:val="top"/>
          </w:tcPr>
          <w:p w14:paraId="0A904DC1">
            <w:pPr>
              <w:spacing w:before="54" w:line="219"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最高限价</w:t>
            </w:r>
          </w:p>
          <w:p w14:paraId="214F1C6A">
            <w:pPr>
              <w:spacing w:before="28" w:line="216" w:lineRule="auto"/>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（万元）</w:t>
            </w:r>
          </w:p>
        </w:tc>
        <w:tc>
          <w:tcPr>
            <w:tcW w:w="1284" w:type="dxa"/>
            <w:vAlign w:val="center"/>
          </w:tcPr>
          <w:p w14:paraId="1F51E451">
            <w:pPr>
              <w:spacing w:before="54" w:line="221" w:lineRule="auto"/>
              <w:jc w:val="both"/>
              <w:rPr>
                <w:rFonts w:ascii="宋体" w:hAnsi="宋体" w:eastAsia="宋体" w:cs="宋体"/>
                <w:b/>
                <w:bCs/>
                <w:color w:val="auto"/>
                <w:spacing w:val="-6"/>
                <w:sz w:val="24"/>
                <w:szCs w:val="24"/>
                <w:highlight w:val="none"/>
              </w:rPr>
            </w:pPr>
            <w:r>
              <w:rPr>
                <w:rFonts w:ascii="宋体" w:hAnsi="宋体" w:eastAsia="宋体" w:cs="宋体"/>
                <w:b/>
                <w:bCs/>
                <w:color w:val="auto"/>
                <w:spacing w:val="-6"/>
                <w:sz w:val="24"/>
                <w:szCs w:val="24"/>
                <w:highlight w:val="none"/>
              </w:rPr>
              <w:t>成交供应商</w:t>
            </w:r>
          </w:p>
          <w:p w14:paraId="1A6736DE">
            <w:pPr>
              <w:spacing w:before="54" w:line="221" w:lineRule="auto"/>
              <w:jc w:val="both"/>
              <w:rPr>
                <w:rFonts w:ascii="宋体" w:hAnsi="宋体" w:eastAsia="宋体" w:cs="宋体"/>
                <w:b/>
                <w:bCs/>
                <w:color w:val="auto"/>
                <w:spacing w:val="-6"/>
                <w:sz w:val="24"/>
                <w:szCs w:val="24"/>
                <w:highlight w:val="none"/>
              </w:rPr>
            </w:pPr>
            <w:r>
              <w:rPr>
                <w:rFonts w:ascii="宋体" w:hAnsi="宋体" w:eastAsia="宋体" w:cs="宋体"/>
                <w:b/>
                <w:bCs/>
                <w:color w:val="auto"/>
                <w:spacing w:val="-6"/>
                <w:sz w:val="24"/>
                <w:szCs w:val="24"/>
                <w:highlight w:val="none"/>
              </w:rPr>
              <w:t>数量（名）</w:t>
            </w:r>
          </w:p>
        </w:tc>
        <w:tc>
          <w:tcPr>
            <w:tcW w:w="1680" w:type="dxa"/>
            <w:vAlign w:val="center"/>
          </w:tcPr>
          <w:p w14:paraId="625A8C4C">
            <w:pPr>
              <w:spacing w:before="54" w:line="221" w:lineRule="auto"/>
              <w:ind w:left="260" w:firstLine="458" w:firstLineChars="200"/>
              <w:jc w:val="both"/>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备注</w:t>
            </w:r>
          </w:p>
        </w:tc>
      </w:tr>
      <w:tr w14:paraId="3464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296" w:type="dxa"/>
            <w:vAlign w:val="top"/>
          </w:tcPr>
          <w:p w14:paraId="0C1DA15D">
            <w:pPr>
              <w:spacing w:before="164" w:line="220" w:lineRule="auto"/>
              <w:ind w:left="14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原</w:t>
            </w:r>
            <w:r>
              <w:rPr>
                <w:rFonts w:hint="eastAsia" w:ascii="宋体" w:hAnsi="宋体" w:eastAsia="宋体" w:cs="宋体"/>
                <w:color w:val="auto"/>
                <w:spacing w:val="-1"/>
                <w:sz w:val="24"/>
                <w:szCs w:val="24"/>
                <w:highlight w:val="none"/>
                <w:lang w:eastAsia="zh-CN"/>
              </w:rPr>
              <w:t>重庆汽车工程技术学院建设工程一期（6-12#、13#楼）</w:t>
            </w:r>
            <w:r>
              <w:rPr>
                <w:rFonts w:hint="eastAsia" w:ascii="宋体" w:hAnsi="宋体" w:eastAsia="宋体" w:cs="宋体"/>
                <w:color w:val="auto"/>
                <w:spacing w:val="-1"/>
                <w:sz w:val="24"/>
                <w:szCs w:val="24"/>
                <w:highlight w:val="none"/>
                <w:lang w:val="en-US" w:eastAsia="zh-CN"/>
              </w:rPr>
              <w:t>房屋测绘</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第三次</w:t>
            </w:r>
            <w:r>
              <w:rPr>
                <w:rFonts w:hint="eastAsia" w:ascii="宋体" w:hAnsi="宋体" w:eastAsia="宋体" w:cs="宋体"/>
                <w:color w:val="auto"/>
                <w:spacing w:val="1"/>
                <w:sz w:val="24"/>
                <w:szCs w:val="24"/>
                <w:highlight w:val="none"/>
                <w:lang w:eastAsia="zh-CN"/>
              </w:rPr>
              <w:t>）</w:t>
            </w:r>
          </w:p>
        </w:tc>
        <w:tc>
          <w:tcPr>
            <w:tcW w:w="1284" w:type="dxa"/>
            <w:vAlign w:val="center"/>
          </w:tcPr>
          <w:p w14:paraId="3CF229DA">
            <w:pPr>
              <w:spacing w:before="163"/>
              <w:ind w:firstLine="464"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val="en-US" w:eastAsia="zh-CN"/>
              </w:rPr>
              <w:t>0</w:t>
            </w:r>
          </w:p>
        </w:tc>
        <w:tc>
          <w:tcPr>
            <w:tcW w:w="1092" w:type="dxa"/>
            <w:vAlign w:val="center"/>
          </w:tcPr>
          <w:p w14:paraId="5C656E45">
            <w:pPr>
              <w:spacing w:before="164"/>
              <w:ind w:firstLine="212" w:firstLineChars="1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4"/>
                <w:sz w:val="24"/>
                <w:szCs w:val="24"/>
                <w:highlight w:val="none"/>
                <w:lang w:val="en-US" w:eastAsia="zh-CN"/>
              </w:rPr>
              <w:t>3.45</w:t>
            </w:r>
          </w:p>
        </w:tc>
        <w:tc>
          <w:tcPr>
            <w:tcW w:w="1284" w:type="dxa"/>
            <w:vAlign w:val="center"/>
          </w:tcPr>
          <w:p w14:paraId="3161CA88">
            <w:pPr>
              <w:spacing w:before="164"/>
              <w:ind w:left="737"/>
              <w:jc w:val="both"/>
              <w:rPr>
                <w:rFonts w:ascii="宋体" w:hAnsi="宋体" w:eastAsia="宋体" w:cs="宋体"/>
                <w:b/>
                <w:bCs/>
                <w:color w:val="auto"/>
                <w:spacing w:val="-6"/>
                <w:sz w:val="24"/>
                <w:szCs w:val="24"/>
                <w:highlight w:val="none"/>
              </w:rPr>
            </w:pPr>
            <w:r>
              <w:rPr>
                <w:rFonts w:ascii="宋体" w:hAnsi="宋体" w:eastAsia="宋体" w:cs="宋体"/>
                <w:color w:val="auto"/>
                <w:spacing w:val="-14"/>
                <w:sz w:val="24"/>
                <w:szCs w:val="24"/>
                <w:highlight w:val="none"/>
              </w:rPr>
              <w:t>1</w:t>
            </w:r>
          </w:p>
        </w:tc>
        <w:tc>
          <w:tcPr>
            <w:tcW w:w="1680" w:type="dxa"/>
            <w:vAlign w:val="center"/>
          </w:tcPr>
          <w:p w14:paraId="486DE1F6">
            <w:pPr>
              <w:spacing w:before="164"/>
              <w:jc w:val="both"/>
              <w:rPr>
                <w:rFonts w:ascii="宋体" w:hAnsi="宋体" w:eastAsia="宋体" w:cs="宋体"/>
                <w:color w:val="auto"/>
                <w:spacing w:val="-14"/>
                <w:sz w:val="24"/>
                <w:szCs w:val="24"/>
                <w:highlight w:val="none"/>
              </w:rPr>
            </w:pPr>
            <w:r>
              <w:rPr>
                <w:rFonts w:hint="eastAsia" w:ascii="宋体" w:hAnsi="宋体" w:eastAsia="宋体" w:cs="宋体"/>
                <w:color w:val="auto"/>
                <w:spacing w:val="-1"/>
                <w:sz w:val="24"/>
                <w:szCs w:val="24"/>
                <w:highlight w:val="none"/>
                <w:lang w:val="en-US" w:eastAsia="zh-CN"/>
              </w:rPr>
              <w:t>主要用于办理不动产权证书</w:t>
            </w:r>
          </w:p>
        </w:tc>
      </w:tr>
    </w:tbl>
    <w:p w14:paraId="0F908F04">
      <w:pPr>
        <w:spacing w:before="106" w:line="241" w:lineRule="auto"/>
        <w:ind w:left="484"/>
        <w:outlineLvl w:val="1"/>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二、资金来源</w:t>
      </w:r>
    </w:p>
    <w:p w14:paraId="29A56609">
      <w:pPr>
        <w:spacing w:before="97" w:line="220"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单位自筹资金。</w:t>
      </w:r>
    </w:p>
    <w:p w14:paraId="7504907C">
      <w:pPr>
        <w:spacing w:before="102" w:line="242" w:lineRule="auto"/>
        <w:ind w:left="488"/>
        <w:outlineLvl w:val="1"/>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三、资格要求</w:t>
      </w:r>
    </w:p>
    <w:p w14:paraId="57A077DB">
      <w:pPr>
        <w:spacing w:before="96" w:line="307" w:lineRule="auto"/>
        <w:ind w:left="27" w:firstLine="452"/>
        <w:rPr>
          <w:rFonts w:ascii="宋体" w:hAnsi="宋体" w:eastAsia="宋体" w:cs="宋体"/>
          <w:color w:val="auto"/>
          <w:spacing w:val="-4"/>
          <w:sz w:val="24"/>
          <w:szCs w:val="24"/>
          <w:highlight w:val="none"/>
        </w:rPr>
      </w:pPr>
      <w:r>
        <w:rPr>
          <w:rFonts w:ascii="宋体" w:hAnsi="宋体" w:eastAsia="宋体" w:cs="宋体"/>
          <w:color w:val="auto"/>
          <w:spacing w:val="-3"/>
          <w:sz w:val="24"/>
          <w:szCs w:val="24"/>
          <w:highlight w:val="none"/>
        </w:rPr>
        <w:t>询价供应商是指向采购人提供货物、工程施工或者服务的法人、其他组织或者自</w:t>
      </w:r>
      <w:r>
        <w:rPr>
          <w:rFonts w:ascii="宋体" w:hAnsi="宋体" w:eastAsia="宋体" w:cs="宋体"/>
          <w:color w:val="auto"/>
          <w:spacing w:val="-4"/>
          <w:sz w:val="24"/>
          <w:szCs w:val="24"/>
          <w:highlight w:val="none"/>
        </w:rPr>
        <w:t>然人</w:t>
      </w:r>
    </w:p>
    <w:p w14:paraId="05862464">
      <w:pPr>
        <w:spacing w:before="96" w:line="307" w:lineRule="auto"/>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以下简称供应商</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w:t>
      </w:r>
    </w:p>
    <w:p w14:paraId="2CDFAFCB">
      <w:pPr>
        <w:spacing w:before="1"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合格的供应商应符合下列条件：</w:t>
      </w:r>
    </w:p>
    <w:p w14:paraId="68489C11">
      <w:pPr>
        <w:spacing w:before="112" w:line="192" w:lineRule="auto"/>
        <w:ind w:left="465"/>
        <w:outlineLvl w:val="9"/>
        <w:rPr>
          <w:rFonts w:ascii="微软雅黑" w:hAnsi="微软雅黑" w:eastAsia="微软雅黑" w:cs="微软雅黑"/>
          <w:color w:val="auto"/>
          <w:sz w:val="24"/>
          <w:szCs w:val="24"/>
          <w:highlight w:val="none"/>
        </w:rPr>
      </w:pPr>
      <w:bookmarkStart w:id="2" w:name="_Toc24185"/>
      <w:r>
        <w:rPr>
          <w:rFonts w:ascii="微软雅黑" w:hAnsi="微软雅黑" w:eastAsia="微软雅黑" w:cs="微软雅黑"/>
          <w:color w:val="auto"/>
          <w:sz w:val="24"/>
          <w:szCs w:val="24"/>
          <w:highlight w:val="none"/>
        </w:rPr>
        <w:t>（一）一般资格条件</w:t>
      </w:r>
      <w:bookmarkEnd w:id="2"/>
    </w:p>
    <w:p w14:paraId="27F159A5">
      <w:pPr>
        <w:spacing w:before="75" w:line="220"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1.具有独立承担民事责任的能力；</w:t>
      </w:r>
    </w:p>
    <w:p w14:paraId="16931F6F">
      <w:pPr>
        <w:spacing w:before="113"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2.具有良好的商业信誉和健全的财务会计制度；</w:t>
      </w:r>
    </w:p>
    <w:p w14:paraId="7D8EF995">
      <w:pPr>
        <w:spacing w:before="115" w:line="220"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3.具有履行合同所必需的设备和专业技术能力；</w:t>
      </w:r>
    </w:p>
    <w:p w14:paraId="5875A914">
      <w:pPr>
        <w:spacing w:before="115"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4.有依法缴纳税收和社会保障资金的良好记录；</w:t>
      </w:r>
    </w:p>
    <w:p w14:paraId="3EECC849">
      <w:pPr>
        <w:spacing w:before="114" w:line="219" w:lineRule="auto"/>
        <w:ind w:left="484"/>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5.参加采购活动前三年内，在经营活动中没有重大违法记录；</w:t>
      </w:r>
    </w:p>
    <w:p w14:paraId="1824DB30">
      <w:pPr>
        <w:spacing w:before="116" w:line="220"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6.法律、行政法规规定的其他条件。</w:t>
      </w:r>
    </w:p>
    <w:p w14:paraId="3F4E7DB3">
      <w:pPr>
        <w:spacing w:before="111" w:line="192" w:lineRule="auto"/>
        <w:ind w:left="465"/>
        <w:outlineLvl w:val="9"/>
        <w:rPr>
          <w:rFonts w:ascii="微软雅黑" w:hAnsi="微软雅黑" w:eastAsia="微软雅黑" w:cs="微软雅黑"/>
          <w:color w:val="auto"/>
          <w:sz w:val="24"/>
          <w:szCs w:val="24"/>
          <w:highlight w:val="none"/>
        </w:rPr>
      </w:pPr>
      <w:bookmarkStart w:id="3" w:name="_Toc28787"/>
      <w:r>
        <w:rPr>
          <w:rFonts w:ascii="微软雅黑" w:hAnsi="微软雅黑" w:eastAsia="微软雅黑" w:cs="微软雅黑"/>
          <w:color w:val="auto"/>
          <w:spacing w:val="-11"/>
          <w:sz w:val="24"/>
          <w:szCs w:val="24"/>
          <w:highlight w:val="none"/>
        </w:rPr>
        <w:t>（</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1"/>
          <w:sz w:val="24"/>
          <w:szCs w:val="24"/>
          <w:highlight w:val="none"/>
        </w:rPr>
        <w:t>二</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1"/>
          <w:sz w:val="24"/>
          <w:szCs w:val="24"/>
          <w:highlight w:val="none"/>
        </w:rPr>
        <w:t>）特定资格条件</w:t>
      </w:r>
      <w:bookmarkEnd w:id="3"/>
    </w:p>
    <w:p w14:paraId="398D94E6">
      <w:pPr>
        <w:spacing w:before="73" w:line="220" w:lineRule="auto"/>
        <w:ind w:firstLine="484" w:firstLineChars="200"/>
        <w:outlineLvl w:val="9"/>
        <w:rPr>
          <w:rFonts w:ascii="宋体" w:hAnsi="宋体" w:eastAsia="宋体" w:cs="宋体"/>
          <w:color w:val="auto"/>
          <w:sz w:val="24"/>
          <w:szCs w:val="24"/>
          <w:highlight w:val="none"/>
        </w:rPr>
      </w:pPr>
      <w:bookmarkStart w:id="4" w:name="_Toc17330"/>
      <w:r>
        <w:rPr>
          <w:rFonts w:ascii="宋体" w:hAnsi="宋体" w:eastAsia="宋体" w:cs="宋体"/>
          <w:color w:val="auto"/>
          <w:spacing w:val="1"/>
          <w:sz w:val="24"/>
          <w:szCs w:val="24"/>
          <w:highlight w:val="none"/>
        </w:rPr>
        <w:t>具有建设行政主管部门颁发</w:t>
      </w:r>
      <w:r>
        <w:rPr>
          <w:rFonts w:ascii="宋体" w:hAnsi="宋体" w:eastAsia="宋体" w:cs="宋体"/>
          <w:color w:val="auto"/>
          <w:spacing w:val="1"/>
          <w:sz w:val="24"/>
          <w:szCs w:val="24"/>
          <w:highlight w:val="none"/>
        </w:rPr>
        <w:t>的不动产测绘资质</w:t>
      </w:r>
      <w:r>
        <w:rPr>
          <w:rFonts w:hint="default" w:ascii="宋体" w:hAnsi="宋体" w:eastAsia="宋体" w:cs="宋体"/>
          <w:color w:val="auto"/>
          <w:spacing w:val="1"/>
          <w:sz w:val="24"/>
          <w:szCs w:val="24"/>
          <w:highlight w:val="none"/>
        </w:rPr>
        <w:t>，资质等级不低于乙级</w:t>
      </w:r>
      <w:bookmarkEnd w:id="4"/>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根据</w:t>
      </w:r>
      <w:r>
        <w:rPr>
          <w:rFonts w:hint="eastAsia" w:ascii="宋体" w:hAnsi="宋体" w:eastAsia="宋体" w:cs="宋体"/>
          <w:color w:val="auto"/>
          <w:spacing w:val="1"/>
          <w:sz w:val="24"/>
          <w:szCs w:val="24"/>
          <w:highlight w:val="none"/>
          <w:lang w:eastAsia="zh-CN"/>
        </w:rPr>
        <w:t>重庆市 2025 年 3 月实施的《工程建设项目竣工验收多测合一实施办法》要求，从事不动产测绘的单位需同时具备工程测量和界线与不动产测绘两个专业类别</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（提供</w:t>
      </w:r>
      <w:r>
        <w:rPr>
          <w:rFonts w:ascii="宋体" w:hAnsi="宋体" w:eastAsia="宋体" w:cs="宋体"/>
          <w:color w:val="auto"/>
          <w:spacing w:val="-1"/>
          <w:sz w:val="24"/>
          <w:szCs w:val="24"/>
          <w:highlight w:val="none"/>
        </w:rPr>
        <w:t>资质证书复印件，加盖</w:t>
      </w:r>
      <w:r>
        <w:rPr>
          <w:rFonts w:ascii="宋体" w:hAnsi="宋体" w:eastAsia="宋体" w:cs="宋体"/>
          <w:color w:val="auto"/>
          <w:spacing w:val="-2"/>
          <w:sz w:val="24"/>
          <w:szCs w:val="24"/>
          <w:highlight w:val="none"/>
        </w:rPr>
        <w:t>供应商公章</w:t>
      </w:r>
      <w:r>
        <w:rPr>
          <w:rFonts w:ascii="宋体" w:hAnsi="宋体" w:eastAsia="宋体" w:cs="宋体"/>
          <w:color w:val="auto"/>
          <w:spacing w:val="-1"/>
          <w:sz w:val="24"/>
          <w:szCs w:val="24"/>
          <w:highlight w:val="none"/>
        </w:rPr>
        <w:t>）</w:t>
      </w:r>
    </w:p>
    <w:p w14:paraId="4B45DEDE">
      <w:pPr>
        <w:spacing w:before="106" w:line="241" w:lineRule="auto"/>
        <w:ind w:left="498"/>
        <w:outlineLvl w:val="1"/>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rPr>
        <w:t>四、询价有关说明</w:t>
      </w:r>
    </w:p>
    <w:p w14:paraId="5BB534F6">
      <w:pPr>
        <w:spacing w:before="92" w:line="265" w:lineRule="auto"/>
        <w:ind w:right="81" w:firstLine="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(一）凡有意参加询价的供应商，请于本公告发布之日起至</w:t>
      </w:r>
      <w:r>
        <w:rPr>
          <w:rFonts w:ascii="宋体" w:hAnsi="宋体" w:eastAsia="宋体" w:cs="宋体"/>
          <w:color w:val="auto"/>
          <w:spacing w:val="-11"/>
          <w:sz w:val="24"/>
          <w:szCs w:val="24"/>
          <w:highlight w:val="none"/>
        </w:rPr>
        <w:t>提交响应文件截止时间之前，在“行采家”平台</w:t>
      </w:r>
      <w:r>
        <w:rPr>
          <w:rFonts w:ascii="微软雅黑" w:hAnsi="微软雅黑" w:eastAsia="微软雅黑" w:cs="微软雅黑"/>
          <w:color w:val="auto"/>
          <w:spacing w:val="-11"/>
          <w:sz w:val="24"/>
          <w:szCs w:val="24"/>
          <w:highlight w:val="none"/>
        </w:rPr>
        <w:t xml:space="preserve">（ </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ascii="微软雅黑" w:hAnsi="微软雅黑" w:eastAsia="微软雅黑" w:cs="微软雅黑"/>
          <w:color w:val="auto"/>
          <w:spacing w:val="-11"/>
          <w:sz w:val="24"/>
          <w:szCs w:val="24"/>
          <w:highlight w:val="none"/>
        </w:rPr>
        <w:t>https://www.g</w:t>
      </w:r>
      <w:r>
        <w:rPr>
          <w:rFonts w:ascii="微软雅黑" w:hAnsi="微软雅黑" w:eastAsia="微软雅黑" w:cs="微软雅黑"/>
          <w:color w:val="auto"/>
          <w:spacing w:val="-12"/>
          <w:sz w:val="24"/>
          <w:szCs w:val="24"/>
          <w:highlight w:val="none"/>
        </w:rPr>
        <w:t>ec123.com/</w:t>
      </w:r>
      <w:r>
        <w:rPr>
          <w:rFonts w:ascii="微软雅黑" w:hAnsi="微软雅黑" w:eastAsia="微软雅黑" w:cs="微软雅黑"/>
          <w:color w:val="auto"/>
          <w:spacing w:val="-12"/>
          <w:sz w:val="24"/>
          <w:szCs w:val="24"/>
          <w:highlight w:val="none"/>
        </w:rPr>
        <w:fldChar w:fldCharType="end"/>
      </w:r>
      <w:r>
        <w:rPr>
          <w:rFonts w:ascii="微软雅黑" w:hAnsi="微软雅黑" w:eastAsia="微软雅黑" w:cs="微软雅黑"/>
          <w:color w:val="auto"/>
          <w:spacing w:val="-12"/>
          <w:sz w:val="24"/>
          <w:szCs w:val="24"/>
          <w:highlight w:val="none"/>
        </w:rPr>
        <w:t>）</w:t>
      </w:r>
      <w:r>
        <w:rPr>
          <w:rFonts w:ascii="宋体" w:hAnsi="宋体" w:eastAsia="宋体" w:cs="宋体"/>
          <w:color w:val="auto"/>
          <w:spacing w:val="-11"/>
          <w:sz w:val="24"/>
          <w:szCs w:val="24"/>
          <w:highlight w:val="none"/>
        </w:rPr>
        <w:t>或重庆理工职业学院官网校企合作一体化 招标采购平台</w:t>
      </w:r>
      <w:r>
        <w:rPr>
          <w:rFonts w:ascii="微软雅黑" w:hAnsi="微软雅黑" w:eastAsia="微软雅黑" w:cs="微软雅黑"/>
          <w:color w:val="auto"/>
          <w:spacing w:val="-12"/>
          <w:sz w:val="24"/>
          <w:szCs w:val="24"/>
          <w:highlight w:val="none"/>
        </w:rPr>
        <w:t>（http://www.cqip.com.cn/html/15/Index.shtml）</w:t>
      </w:r>
      <w:r>
        <w:rPr>
          <w:rFonts w:ascii="宋体" w:hAnsi="宋体" w:eastAsia="宋体" w:cs="宋体"/>
          <w:color w:val="auto"/>
          <w:spacing w:val="-12"/>
          <w:sz w:val="24"/>
          <w:szCs w:val="24"/>
          <w:highlight w:val="none"/>
        </w:rPr>
        <w:t>下载本项目招</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标文件以及图纸、补遗等开标前公布的所有项目资料。无论供应商下载与否，均视为已知</w:t>
      </w:r>
      <w:r>
        <w:rPr>
          <w:rFonts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晓所有招标内容。</w:t>
      </w:r>
    </w:p>
    <w:p w14:paraId="18069804">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（二）招标文件购买费：</w:t>
      </w:r>
      <w:r>
        <w:rPr>
          <w:rFonts w:hint="eastAsia" w:ascii="宋体" w:hAnsi="宋体" w:eastAsia="宋体" w:cs="宋体"/>
          <w:color w:val="auto"/>
          <w:spacing w:val="-1"/>
          <w:sz w:val="24"/>
          <w:szCs w:val="24"/>
          <w:highlight w:val="none"/>
          <w:lang w:val="en-US" w:eastAsia="zh-CN"/>
        </w:rPr>
        <w:t>不收取</w:t>
      </w:r>
      <w:r>
        <w:rPr>
          <w:rFonts w:ascii="宋体" w:hAnsi="宋体" w:eastAsia="宋体" w:cs="宋体"/>
          <w:color w:val="auto"/>
          <w:spacing w:val="-2"/>
          <w:sz w:val="24"/>
          <w:szCs w:val="24"/>
          <w:highlight w:val="none"/>
        </w:rPr>
        <w:t>。</w:t>
      </w:r>
    </w:p>
    <w:p w14:paraId="76E4BFD3">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（三）供应商须满足以下三种要件，其响应文件才被接受：</w:t>
      </w:r>
    </w:p>
    <w:p w14:paraId="389ED6F6">
      <w:pPr>
        <w:spacing w:before="113" w:line="220" w:lineRule="auto"/>
        <w:ind w:left="4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1、按时递交了响应文件；</w:t>
      </w:r>
    </w:p>
    <w:p w14:paraId="0FAE1D89">
      <w:pPr>
        <w:spacing w:before="114" w:line="219" w:lineRule="auto"/>
        <w:ind w:firstLine="472" w:firstLineChars="20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2、按时报名签到；</w:t>
      </w:r>
    </w:p>
    <w:p w14:paraId="1689DEF9">
      <w:pPr>
        <w:spacing w:before="114" w:line="220" w:lineRule="auto"/>
        <w:ind w:left="491"/>
        <w:outlineLvl w:val="9"/>
        <w:rPr>
          <w:rFonts w:ascii="宋体" w:hAnsi="宋体" w:eastAsia="宋体" w:cs="宋体"/>
          <w:color w:val="auto"/>
          <w:sz w:val="24"/>
          <w:szCs w:val="24"/>
          <w:highlight w:val="none"/>
        </w:rPr>
      </w:pPr>
      <w:bookmarkStart w:id="5" w:name="_Toc25423"/>
      <w:r>
        <w:rPr>
          <w:rFonts w:ascii="宋体" w:hAnsi="宋体" w:eastAsia="宋体" w:cs="宋体"/>
          <w:color w:val="auto"/>
          <w:spacing w:val="-1"/>
          <w:sz w:val="24"/>
          <w:szCs w:val="24"/>
          <w:highlight w:val="none"/>
        </w:rPr>
        <w:t>（四）响应文件递交地址：重庆市巴南区界石镇东城大道 588</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号重庆理</w:t>
      </w:r>
      <w:r>
        <w:rPr>
          <w:rFonts w:ascii="宋体" w:hAnsi="宋体" w:eastAsia="宋体" w:cs="宋体"/>
          <w:color w:val="auto"/>
          <w:spacing w:val="-2"/>
          <w:sz w:val="24"/>
          <w:szCs w:val="24"/>
          <w:highlight w:val="none"/>
        </w:rPr>
        <w:t>工职业学院行</w:t>
      </w:r>
      <w:bookmarkEnd w:id="5"/>
    </w:p>
    <w:p w14:paraId="6FD2862E">
      <w:pPr>
        <w:spacing w:before="48" w:line="220" w:lineRule="auto"/>
        <w:outlineLvl w:val="9"/>
        <w:rPr>
          <w:rFonts w:ascii="宋体" w:hAnsi="宋体" w:eastAsia="宋体" w:cs="宋体"/>
          <w:color w:val="auto"/>
          <w:sz w:val="24"/>
          <w:szCs w:val="24"/>
          <w:highlight w:val="none"/>
        </w:rPr>
      </w:pPr>
      <w:bookmarkStart w:id="6" w:name="_Toc31626"/>
      <w:r>
        <w:rPr>
          <w:rFonts w:ascii="宋体" w:hAnsi="宋体" w:eastAsia="宋体" w:cs="宋体"/>
          <w:color w:val="auto"/>
          <w:spacing w:val="-3"/>
          <w:sz w:val="24"/>
          <w:szCs w:val="24"/>
          <w:highlight w:val="none"/>
        </w:rPr>
        <w:t>政楼五楼</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527</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室</w:t>
      </w:r>
      <w:bookmarkEnd w:id="6"/>
    </w:p>
    <w:p w14:paraId="11B59EDC">
      <w:pPr>
        <w:spacing w:before="112" w:line="220" w:lineRule="auto"/>
        <w:ind w:left="49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（五）响应文件递交开始时间：2025</w:t>
      </w:r>
      <w:r>
        <w:rPr>
          <w:rFonts w:ascii="宋体" w:hAnsi="宋体" w:eastAsia="宋体" w:cs="宋体"/>
          <w:color w:val="auto"/>
          <w:spacing w:val="-40"/>
          <w:sz w:val="24"/>
          <w:szCs w:val="24"/>
          <w:highlight w:val="non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lang w:val="en-US" w:eastAsia="zh-CN"/>
        </w:rPr>
        <w:t>5</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lang w:val="en-US" w:eastAsia="zh-CN"/>
        </w:rPr>
        <w:t>7</w:t>
      </w:r>
      <w:r>
        <w:rPr>
          <w:rFonts w:ascii="宋体" w:hAnsi="宋体" w:eastAsia="宋体" w:cs="宋体"/>
          <w:color w:val="auto"/>
          <w:spacing w:val="-5"/>
          <w:sz w:val="24"/>
          <w:szCs w:val="24"/>
          <w:highlight w:val="none"/>
        </w:rPr>
        <w:t>日北京时间</w:t>
      </w:r>
      <w:r>
        <w:rPr>
          <w:rFonts w:ascii="宋体" w:hAnsi="宋体" w:eastAsia="宋体" w:cs="宋体"/>
          <w:color w:val="auto"/>
          <w:spacing w:val="-33"/>
          <w:sz w:val="24"/>
          <w:szCs w:val="24"/>
          <w:highlight w:val="none"/>
        </w:rPr>
        <w:t xml:space="preserve"> </w:t>
      </w:r>
      <w:r>
        <w:rPr>
          <w:rFonts w:ascii="宋体" w:hAnsi="宋体" w:eastAsia="宋体" w:cs="宋体"/>
          <w:color w:val="auto"/>
          <w:spacing w:val="-5"/>
          <w:sz w:val="24"/>
          <w:szCs w:val="24"/>
          <w:highlight w:val="none"/>
        </w:rPr>
        <w:t>14:00</w:t>
      </w:r>
    </w:p>
    <w:p w14:paraId="302490B2">
      <w:pPr>
        <w:spacing w:before="114" w:line="220" w:lineRule="auto"/>
        <w:ind w:left="49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（六）响应文件递交截止时间：2025</w:t>
      </w:r>
      <w:r>
        <w:rPr>
          <w:rFonts w:ascii="宋体" w:hAnsi="宋体" w:eastAsia="宋体" w:cs="宋体"/>
          <w:color w:val="auto"/>
          <w:spacing w:val="-40"/>
          <w:sz w:val="24"/>
          <w:szCs w:val="24"/>
          <w:highlight w:val="non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lang w:val="en-US" w:eastAsia="zh-CN"/>
        </w:rPr>
        <w:t>5</w:t>
      </w:r>
      <w:r>
        <w:rPr>
          <w:rFonts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lang w:val="en-US" w:eastAsia="zh-CN"/>
        </w:rPr>
        <w:t>7</w:t>
      </w:r>
      <w:r>
        <w:rPr>
          <w:rFonts w:ascii="宋体" w:hAnsi="宋体" w:eastAsia="宋体" w:cs="宋体"/>
          <w:color w:val="auto"/>
          <w:spacing w:val="-5"/>
          <w:sz w:val="24"/>
          <w:szCs w:val="24"/>
          <w:highlight w:val="none"/>
        </w:rPr>
        <w:t>日北京时间</w:t>
      </w:r>
      <w:r>
        <w:rPr>
          <w:rFonts w:ascii="宋体" w:hAnsi="宋体" w:eastAsia="宋体" w:cs="宋体"/>
          <w:color w:val="auto"/>
          <w:spacing w:val="-33"/>
          <w:sz w:val="24"/>
          <w:szCs w:val="24"/>
          <w:highlight w:val="none"/>
        </w:rPr>
        <w:t xml:space="preserve"> </w:t>
      </w:r>
      <w:r>
        <w:rPr>
          <w:rFonts w:ascii="宋体" w:hAnsi="宋体" w:eastAsia="宋体" w:cs="宋体"/>
          <w:color w:val="auto"/>
          <w:spacing w:val="-5"/>
          <w:sz w:val="24"/>
          <w:szCs w:val="24"/>
          <w:highlight w:val="none"/>
        </w:rPr>
        <w:t>14:30</w:t>
      </w:r>
    </w:p>
    <w:p w14:paraId="0095D265">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（七）询价开始时间：2025</w:t>
      </w:r>
      <w:r>
        <w:rPr>
          <w:rFonts w:ascii="宋体" w:hAnsi="宋体" w:eastAsia="宋体" w:cs="宋体"/>
          <w:color w:val="auto"/>
          <w:spacing w:val="-31"/>
          <w:sz w:val="24"/>
          <w:szCs w:val="24"/>
          <w:highlight w:val="none"/>
        </w:rPr>
        <w:t xml:space="preserve"> </w:t>
      </w:r>
      <w:r>
        <w:rPr>
          <w:rFonts w:ascii="宋体" w:hAnsi="宋体" w:eastAsia="宋体" w:cs="宋体"/>
          <w:color w:val="auto"/>
          <w:spacing w:val="-6"/>
          <w:sz w:val="24"/>
          <w:szCs w:val="24"/>
          <w:highlight w:val="none"/>
        </w:rPr>
        <w:t>年</w:t>
      </w:r>
      <w:r>
        <w:rPr>
          <w:rFonts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lang w:val="en-US" w:eastAsia="zh-CN"/>
        </w:rPr>
        <w:t>5</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lang w:val="en-US" w:eastAsia="zh-CN"/>
        </w:rPr>
        <w:t>7</w:t>
      </w:r>
      <w:r>
        <w:rPr>
          <w:rFonts w:ascii="宋体" w:hAnsi="宋体" w:eastAsia="宋体" w:cs="宋体"/>
          <w:color w:val="auto"/>
          <w:spacing w:val="-6"/>
          <w:sz w:val="24"/>
          <w:szCs w:val="24"/>
          <w:highlight w:val="none"/>
        </w:rPr>
        <w:t>日北京</w:t>
      </w:r>
      <w:r>
        <w:rPr>
          <w:rFonts w:ascii="宋体" w:hAnsi="宋体" w:eastAsia="宋体" w:cs="宋体"/>
          <w:color w:val="auto"/>
          <w:spacing w:val="-6"/>
          <w:sz w:val="24"/>
          <w:szCs w:val="24"/>
          <w:highlight w:val="none"/>
        </w:rPr>
        <w:t>时间</w:t>
      </w:r>
      <w:r>
        <w:rPr>
          <w:rFonts w:ascii="宋体" w:hAnsi="宋体" w:eastAsia="宋体" w:cs="宋体"/>
          <w:color w:val="auto"/>
          <w:spacing w:val="-33"/>
          <w:sz w:val="24"/>
          <w:szCs w:val="24"/>
          <w:highlight w:val="none"/>
        </w:rPr>
        <w:t xml:space="preserve"> </w:t>
      </w:r>
      <w:r>
        <w:rPr>
          <w:rFonts w:ascii="宋体" w:hAnsi="宋体" w:eastAsia="宋体" w:cs="宋体"/>
          <w:color w:val="auto"/>
          <w:spacing w:val="-6"/>
          <w:sz w:val="24"/>
          <w:szCs w:val="24"/>
          <w:highlight w:val="none"/>
        </w:rPr>
        <w:t>14:30</w:t>
      </w:r>
    </w:p>
    <w:p w14:paraId="3DF96139">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（八）询价地址：同响应文件递交地址</w:t>
      </w:r>
    </w:p>
    <w:p w14:paraId="2951D199">
      <w:pPr>
        <w:spacing w:before="107" w:line="316" w:lineRule="exact"/>
        <w:ind w:left="483"/>
        <w:outlineLvl w:val="1"/>
        <w:rPr>
          <w:rFonts w:ascii="黑体" w:hAnsi="黑体" w:eastAsia="黑体" w:cs="黑体"/>
          <w:color w:val="auto"/>
          <w:sz w:val="24"/>
          <w:szCs w:val="24"/>
          <w:highlight w:val="none"/>
        </w:rPr>
      </w:pPr>
      <w:r>
        <w:rPr>
          <w:rFonts w:ascii="黑体" w:hAnsi="黑体" w:eastAsia="黑体" w:cs="黑体"/>
          <w:color w:val="auto"/>
          <w:spacing w:val="-2"/>
          <w:position w:val="1"/>
          <w:sz w:val="24"/>
          <w:szCs w:val="24"/>
          <w:highlight w:val="none"/>
        </w:rPr>
        <w:t>五、响应保证金</w:t>
      </w:r>
    </w:p>
    <w:p w14:paraId="227A6D5B">
      <w:pPr>
        <w:spacing w:before="125" w:line="192" w:lineRule="auto"/>
        <w:ind w:left="466"/>
        <w:outlineLvl w:val="9"/>
        <w:rPr>
          <w:rFonts w:hint="default" w:ascii="微软雅黑" w:hAnsi="微软雅黑" w:eastAsia="微软雅黑" w:cs="微软雅黑"/>
          <w:color w:val="auto"/>
          <w:sz w:val="24"/>
          <w:szCs w:val="24"/>
          <w:highlight w:val="none"/>
          <w:lang w:val="en-US" w:eastAsia="zh-CN"/>
        </w:rPr>
      </w:pPr>
      <w:bookmarkStart w:id="7" w:name="_Toc31334"/>
      <w:r>
        <w:rPr>
          <w:rFonts w:ascii="微软雅黑" w:hAnsi="微软雅黑" w:eastAsia="微软雅黑" w:cs="微软雅黑"/>
          <w:color w:val="auto"/>
          <w:sz w:val="24"/>
          <w:szCs w:val="24"/>
          <w:highlight w:val="none"/>
        </w:rPr>
        <w:t>（一）询价保证金递交</w:t>
      </w:r>
      <w:bookmarkEnd w:id="7"/>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无</w:t>
      </w:r>
    </w:p>
    <w:p w14:paraId="500ED85B">
      <w:pPr>
        <w:spacing w:before="1" w:line="241" w:lineRule="auto"/>
        <w:ind w:left="485"/>
        <w:outlineLvl w:val="1"/>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六、询价有关规定</w:t>
      </w:r>
    </w:p>
    <w:p w14:paraId="01E57143">
      <w:pPr>
        <w:spacing w:before="115" w:line="284" w:lineRule="auto"/>
        <w:ind w:firstLine="484"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一</w:t>
      </w:r>
      <w:r>
        <w:rPr>
          <w:rFonts w:ascii="宋体" w:hAnsi="宋体" w:eastAsia="宋体" w:cs="宋体"/>
          <w:color w:val="auto"/>
          <w:spacing w:val="1"/>
          <w:sz w:val="24"/>
          <w:szCs w:val="24"/>
          <w:highlight w:val="none"/>
        </w:rPr>
        <w:t>）若同一合同项（分包）下为单一品目的货物采购中，同一品牌</w:t>
      </w:r>
      <w:r>
        <w:rPr>
          <w:rFonts w:ascii="宋体" w:hAnsi="宋体" w:eastAsia="宋体" w:cs="宋体"/>
          <w:color w:val="auto"/>
          <w:sz w:val="24"/>
          <w:szCs w:val="24"/>
          <w:highlight w:val="none"/>
        </w:rPr>
        <w:t xml:space="preserve">同一型号产品有 </w:t>
      </w:r>
      <w:r>
        <w:rPr>
          <w:rFonts w:ascii="宋体" w:hAnsi="宋体" w:eastAsia="宋体" w:cs="宋体"/>
          <w:color w:val="auto"/>
          <w:spacing w:val="-3"/>
          <w:sz w:val="24"/>
          <w:szCs w:val="24"/>
          <w:highlight w:val="none"/>
        </w:rPr>
        <w:t>多家供应商参加询价的，只能按一家供应商计算。询价时在其他条件（资格符合性检查、</w:t>
      </w:r>
      <w:r>
        <w:rPr>
          <w:rFonts w:ascii="宋体" w:hAnsi="宋体" w:eastAsia="宋体" w:cs="宋体"/>
          <w:color w:val="auto"/>
          <w:spacing w:val="1"/>
          <w:sz w:val="24"/>
          <w:szCs w:val="24"/>
          <w:highlight w:val="none"/>
        </w:rPr>
        <w:t>响应文件的有效性、完整性和响应程度检查）合格的前提下，选取报价最低的供应商进入</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评审，舍掉其他供应商。</w:t>
      </w:r>
    </w:p>
    <w:p w14:paraId="45EF5429">
      <w:pPr>
        <w:spacing w:before="47" w:line="264" w:lineRule="auto"/>
        <w:ind w:left="2"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二</w:t>
      </w:r>
      <w:r>
        <w:rPr>
          <w:rFonts w:ascii="宋体" w:hAnsi="宋体" w:eastAsia="宋体" w:cs="宋体"/>
          <w:color w:val="auto"/>
          <w:spacing w:val="1"/>
          <w:sz w:val="24"/>
          <w:szCs w:val="24"/>
          <w:highlight w:val="none"/>
        </w:rPr>
        <w:t>）同一项目的货物，制造商参与询价的，不得再委托代理商参与</w:t>
      </w:r>
      <w:r>
        <w:rPr>
          <w:rFonts w:ascii="宋体" w:hAnsi="宋体" w:eastAsia="宋体" w:cs="宋体"/>
          <w:color w:val="auto"/>
          <w:sz w:val="24"/>
          <w:szCs w:val="24"/>
          <w:highlight w:val="none"/>
        </w:rPr>
        <w:t xml:space="preserve">询价，否则均为 </w:t>
      </w:r>
      <w:r>
        <w:rPr>
          <w:rFonts w:ascii="宋体" w:hAnsi="宋体" w:eastAsia="宋体" w:cs="宋体"/>
          <w:color w:val="auto"/>
          <w:spacing w:val="-3"/>
          <w:sz w:val="24"/>
          <w:szCs w:val="24"/>
          <w:highlight w:val="none"/>
        </w:rPr>
        <w:t>无效响应。</w:t>
      </w:r>
    </w:p>
    <w:p w14:paraId="6510CB56">
      <w:pPr>
        <w:spacing w:before="113" w:line="220" w:lineRule="auto"/>
        <w:ind w:left="492"/>
        <w:outlineLvl w:val="9"/>
        <w:rPr>
          <w:rFonts w:ascii="宋体" w:hAnsi="宋体" w:eastAsia="宋体" w:cs="宋体"/>
          <w:color w:val="auto"/>
          <w:sz w:val="24"/>
          <w:szCs w:val="24"/>
          <w:highlight w:val="none"/>
        </w:rPr>
      </w:pPr>
      <w:bookmarkStart w:id="8" w:name="_Toc32053"/>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三</w:t>
      </w:r>
      <w:r>
        <w:rPr>
          <w:rFonts w:ascii="宋体" w:hAnsi="宋体" w:eastAsia="宋体" w:cs="宋体"/>
          <w:color w:val="auto"/>
          <w:spacing w:val="-1"/>
          <w:sz w:val="24"/>
          <w:szCs w:val="24"/>
          <w:highlight w:val="none"/>
        </w:rPr>
        <w:t>）超过响应文件截止时间递交的响应文件，恕不接收。</w:t>
      </w:r>
      <w:bookmarkEnd w:id="8"/>
    </w:p>
    <w:p w14:paraId="50271FFA">
      <w:pPr>
        <w:spacing w:before="115" w:line="263" w:lineRule="auto"/>
        <w:ind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四</w:t>
      </w:r>
      <w:r>
        <w:rPr>
          <w:rFonts w:ascii="宋体" w:hAnsi="宋体" w:eastAsia="宋体" w:cs="宋体"/>
          <w:color w:val="auto"/>
          <w:spacing w:val="1"/>
          <w:sz w:val="24"/>
          <w:szCs w:val="24"/>
          <w:highlight w:val="none"/>
        </w:rPr>
        <w:t>）本招标文件在行采家、重庆理工职业学院官网发布，采购人</w:t>
      </w:r>
      <w:r>
        <w:rPr>
          <w:rFonts w:ascii="宋体" w:hAnsi="宋体" w:eastAsia="宋体" w:cs="宋体"/>
          <w:color w:val="auto"/>
          <w:sz w:val="24"/>
          <w:szCs w:val="24"/>
          <w:highlight w:val="none"/>
        </w:rPr>
        <w:t>对</w:t>
      </w:r>
      <w:r>
        <w:rPr>
          <w:rFonts w:ascii="宋体" w:hAnsi="宋体" w:eastAsia="宋体" w:cs="宋体"/>
          <w:color w:val="auto"/>
          <w:spacing w:val="-1"/>
          <w:sz w:val="24"/>
          <w:szCs w:val="24"/>
          <w:highlight w:val="none"/>
        </w:rPr>
        <w:t>任何转载信息及由此产生的后果均不承担任何责任。</w:t>
      </w:r>
    </w:p>
    <w:p w14:paraId="36799020">
      <w:pPr>
        <w:spacing w:before="105" w:line="241" w:lineRule="auto"/>
        <w:ind w:left="481"/>
        <w:outlineLvl w:val="1"/>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七、联系方式</w:t>
      </w:r>
    </w:p>
    <w:p w14:paraId="04878510">
      <w:pPr>
        <w:spacing w:before="93" w:line="192" w:lineRule="auto"/>
        <w:ind w:left="46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w:t>
      </w:r>
      <w:r>
        <w:rPr>
          <w:rFonts w:ascii="微软雅黑" w:hAnsi="微软雅黑" w:eastAsia="微软雅黑" w:cs="微软雅黑"/>
          <w:color w:val="auto"/>
          <w:sz w:val="24"/>
          <w:szCs w:val="24"/>
          <w:highlight w:val="none"/>
        </w:rPr>
        <w:t>：</w:t>
      </w:r>
      <w:r>
        <w:rPr>
          <w:rFonts w:ascii="宋体" w:hAnsi="宋体" w:eastAsia="宋体" w:cs="宋体"/>
          <w:color w:val="auto"/>
          <w:sz w:val="24"/>
          <w:szCs w:val="24"/>
          <w:highlight w:val="none"/>
        </w:rPr>
        <w:t>重庆理工职业学院</w:t>
      </w:r>
    </w:p>
    <w:p w14:paraId="1B7C2906">
      <w:pPr>
        <w:spacing w:before="72" w:line="220"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联系人：</w:t>
      </w:r>
      <w:r>
        <w:rPr>
          <w:rFonts w:hint="eastAsia" w:ascii="宋体" w:hAnsi="宋体" w:eastAsia="宋体" w:cs="宋体"/>
          <w:color w:val="auto"/>
          <w:spacing w:val="-2"/>
          <w:sz w:val="24"/>
          <w:szCs w:val="24"/>
          <w:highlight w:val="none"/>
          <w:lang w:val="en-US" w:eastAsia="zh-CN"/>
        </w:rPr>
        <w:t>吴</w:t>
      </w:r>
      <w:r>
        <w:rPr>
          <w:rFonts w:ascii="宋体" w:hAnsi="宋体" w:eastAsia="宋体" w:cs="宋体"/>
          <w:color w:val="auto"/>
          <w:spacing w:val="-2"/>
          <w:sz w:val="24"/>
          <w:szCs w:val="24"/>
          <w:highlight w:val="none"/>
        </w:rPr>
        <w:t>老师</w:t>
      </w:r>
    </w:p>
    <w:p w14:paraId="19DC7302">
      <w:pPr>
        <w:spacing w:before="115" w:line="222" w:lineRule="auto"/>
        <w:ind w:firstLine="468" w:firstLineChars="200"/>
        <w:rPr>
          <w:rFonts w:hint="default" w:ascii="宋体" w:hAnsi="宋体" w:eastAsia="宋体" w:cs="宋体"/>
          <w:color w:val="auto"/>
          <w:sz w:val="24"/>
          <w:szCs w:val="24"/>
          <w:highlight w:val="none"/>
          <w:lang w:val="en-US" w:eastAsia="zh-CN"/>
        </w:rPr>
      </w:pPr>
      <w:r>
        <w:rPr>
          <w:rFonts w:ascii="宋体" w:hAnsi="宋体" w:eastAsia="宋体" w:cs="宋体"/>
          <w:color w:val="auto"/>
          <w:spacing w:val="-3"/>
          <w:sz w:val="24"/>
          <w:szCs w:val="24"/>
          <w:highlight w:val="none"/>
        </w:rPr>
        <w:t>电  话：</w:t>
      </w:r>
      <w:r>
        <w:rPr>
          <w:rFonts w:hint="eastAsia" w:ascii="宋体" w:hAnsi="宋体" w:eastAsia="宋体" w:cs="宋体"/>
          <w:color w:val="auto"/>
          <w:spacing w:val="-3"/>
          <w:sz w:val="24"/>
          <w:szCs w:val="24"/>
          <w:highlight w:val="none"/>
          <w:lang w:val="en-US" w:eastAsia="zh-CN"/>
        </w:rPr>
        <w:t>13668080436</w:t>
      </w:r>
    </w:p>
    <w:p w14:paraId="75C59AC4">
      <w:pPr>
        <w:spacing w:before="112" w:line="220" w:lineRule="auto"/>
        <w:ind w:left="480"/>
        <w:rPr>
          <w:rFonts w:ascii="宋体" w:hAnsi="宋体" w:eastAsia="宋体" w:cs="宋体"/>
          <w:color w:val="auto"/>
          <w:sz w:val="24"/>
          <w:szCs w:val="24"/>
          <w:highlight w:val="none"/>
        </w:rPr>
        <w:sectPr>
          <w:pgSz w:w="11907" w:h="16840"/>
          <w:pgMar w:top="1323" w:right="1191" w:bottom="1221" w:left="1311" w:header="0" w:footer="853" w:gutter="0"/>
          <w:pgNumType w:fmt="decimal"/>
          <w:cols w:space="720" w:num="1"/>
          <w:titlePg/>
        </w:sectPr>
      </w:pPr>
      <w:r>
        <w:rPr>
          <w:rFonts w:ascii="宋体" w:hAnsi="宋体" w:eastAsia="宋体" w:cs="宋体"/>
          <w:color w:val="auto"/>
          <w:spacing w:val="-1"/>
          <w:sz w:val="24"/>
          <w:szCs w:val="24"/>
          <w:highlight w:val="none"/>
        </w:rPr>
        <w:t>地  址：重庆市巴南区界石镇东城大道 588</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号</w:t>
      </w:r>
    </w:p>
    <w:p w14:paraId="7A6E9E7D">
      <w:pPr>
        <w:spacing w:before="80" w:line="469" w:lineRule="exact"/>
        <w:jc w:val="center"/>
        <w:outlineLvl w:val="0"/>
        <w:rPr>
          <w:rFonts w:ascii="黑体" w:hAnsi="黑体" w:eastAsia="黑体" w:cs="黑体"/>
          <w:color w:val="auto"/>
          <w:sz w:val="35"/>
          <w:szCs w:val="35"/>
          <w:highlight w:val="none"/>
        </w:rPr>
      </w:pPr>
      <w:r>
        <w:rPr>
          <w:rFonts w:ascii="黑体" w:hAnsi="黑体" w:eastAsia="黑体" w:cs="黑体"/>
          <w:color w:val="auto"/>
          <w:spacing w:val="7"/>
          <w:position w:val="1"/>
          <w:sz w:val="35"/>
          <w:szCs w:val="35"/>
          <w:highlight w:val="none"/>
        </w:rPr>
        <w:t>第二篇 供应商须知</w:t>
      </w:r>
    </w:p>
    <w:p w14:paraId="15804B50">
      <w:pPr>
        <w:pStyle w:val="6"/>
        <w:spacing w:line="281" w:lineRule="auto"/>
        <w:rPr>
          <w:color w:val="auto"/>
          <w:highlight w:val="none"/>
        </w:rPr>
      </w:pPr>
    </w:p>
    <w:p w14:paraId="5095B7AA">
      <w:pPr>
        <w:spacing w:before="78" w:line="242" w:lineRule="auto"/>
        <w:ind w:left="485"/>
        <w:outlineLvl w:val="9"/>
        <w:rPr>
          <w:rFonts w:ascii="黑体" w:hAnsi="黑体" w:eastAsia="黑体" w:cs="黑体"/>
          <w:color w:val="auto"/>
          <w:sz w:val="24"/>
          <w:szCs w:val="24"/>
          <w:highlight w:val="none"/>
        </w:rPr>
      </w:pPr>
      <w:bookmarkStart w:id="9" w:name="bookmark28"/>
      <w:bookmarkEnd w:id="9"/>
      <w:r>
        <w:rPr>
          <w:rFonts w:ascii="黑体" w:hAnsi="黑体" w:eastAsia="黑体" w:cs="黑体"/>
          <w:color w:val="auto"/>
          <w:spacing w:val="-3"/>
          <w:sz w:val="24"/>
          <w:szCs w:val="24"/>
          <w:highlight w:val="none"/>
        </w:rPr>
        <w:t>一、询价费用</w:t>
      </w:r>
    </w:p>
    <w:p w14:paraId="073AA4C1">
      <w:pPr>
        <w:spacing w:before="95" w:line="304" w:lineRule="auto"/>
        <w:ind w:right="80" w:firstLine="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参与询价的供应商应承担其编制响应文件与递交响应文件所涉及的一切费用，不论询</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rPr>
        <w:t>价结果如何，采购人在任何情况下无义</w:t>
      </w:r>
      <w:r>
        <w:rPr>
          <w:rFonts w:ascii="宋体" w:hAnsi="宋体" w:eastAsia="宋体" w:cs="宋体"/>
          <w:color w:val="auto"/>
          <w:spacing w:val="-1"/>
          <w:sz w:val="24"/>
          <w:szCs w:val="24"/>
          <w:highlight w:val="none"/>
        </w:rPr>
        <w:t>务也无责任承担这些费用。</w:t>
      </w:r>
    </w:p>
    <w:p w14:paraId="7D6009ED">
      <w:pPr>
        <w:spacing w:line="241" w:lineRule="auto"/>
        <w:ind w:left="484"/>
        <w:outlineLvl w:val="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二、询价通知书</w:t>
      </w:r>
    </w:p>
    <w:p w14:paraId="036451A4">
      <w:pPr>
        <w:spacing w:before="96" w:line="263" w:lineRule="auto"/>
        <w:ind w:firstLine="370"/>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（一）询价通知书由询价邀请书、供应商须知、询价项</w:t>
      </w:r>
      <w:r>
        <w:rPr>
          <w:rFonts w:ascii="宋体" w:hAnsi="宋体" w:eastAsia="宋体" w:cs="宋体"/>
          <w:color w:val="auto"/>
          <w:spacing w:val="-7"/>
          <w:sz w:val="24"/>
          <w:szCs w:val="24"/>
          <w:highlight w:val="none"/>
        </w:rPr>
        <w:t>目技术需求、询价项目商务需求、</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合同主要条款和格式合同、响应文件格式要求六部分组成。</w:t>
      </w:r>
    </w:p>
    <w:p w14:paraId="6556F508">
      <w:pPr>
        <w:spacing w:before="115" w:line="264" w:lineRule="auto"/>
        <w:ind w:right="80" w:firstLine="371"/>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（二）采购人所作的一切有效的书</w:t>
      </w:r>
      <w:r>
        <w:rPr>
          <w:rFonts w:ascii="宋体" w:hAnsi="宋体" w:eastAsia="宋体" w:cs="宋体"/>
          <w:color w:val="auto"/>
          <w:spacing w:val="-3"/>
          <w:sz w:val="24"/>
          <w:szCs w:val="24"/>
          <w:highlight w:val="none"/>
        </w:rPr>
        <w:t>面通知、修改及补充，都是询价</w:t>
      </w:r>
      <w:r>
        <w:rPr>
          <w:rFonts w:ascii="宋体" w:hAnsi="宋体" w:eastAsia="宋体" w:cs="宋体"/>
          <w:color w:val="auto"/>
          <w:spacing w:val="-1"/>
          <w:sz w:val="24"/>
          <w:szCs w:val="24"/>
          <w:highlight w:val="none"/>
        </w:rPr>
        <w:t>通知书不可分割的部分。</w:t>
      </w:r>
    </w:p>
    <w:p w14:paraId="5F27BB28">
      <w:pPr>
        <w:spacing w:before="112" w:line="219" w:lineRule="auto"/>
        <w:ind w:left="371"/>
        <w:outlineLvl w:val="9"/>
        <w:rPr>
          <w:rFonts w:ascii="宋体" w:hAnsi="宋体" w:eastAsia="宋体" w:cs="宋体"/>
          <w:color w:val="auto"/>
          <w:sz w:val="24"/>
          <w:szCs w:val="24"/>
          <w:highlight w:val="none"/>
        </w:rPr>
      </w:pPr>
      <w:bookmarkStart w:id="10" w:name="_Toc14559"/>
      <w:r>
        <w:rPr>
          <w:rFonts w:ascii="宋体" w:hAnsi="宋体" w:eastAsia="宋体" w:cs="宋体"/>
          <w:color w:val="auto"/>
          <w:spacing w:val="-2"/>
          <w:sz w:val="24"/>
          <w:szCs w:val="24"/>
          <w:highlight w:val="none"/>
        </w:rPr>
        <w:t>（三）询价通知书的解释</w:t>
      </w:r>
      <w:bookmarkEnd w:id="10"/>
    </w:p>
    <w:p w14:paraId="042896AE">
      <w:pPr>
        <w:spacing w:before="118" w:line="306" w:lineRule="auto"/>
        <w:ind w:right="16" w:firstLine="359"/>
        <w:jc w:val="both"/>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供应商如对询价通知书有疑问，必须以书面形式在提交响应文件截止时间</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向采购人要求澄清，采购人可视具体情况做出处</w:t>
      </w:r>
      <w:r>
        <w:rPr>
          <w:rFonts w:ascii="宋体" w:hAnsi="宋体" w:eastAsia="宋体" w:cs="宋体"/>
          <w:color w:val="auto"/>
          <w:spacing w:val="-3"/>
          <w:sz w:val="24"/>
          <w:szCs w:val="24"/>
          <w:highlight w:val="none"/>
        </w:rPr>
        <w:t>理或答复。如供应商未提出疑问，视为完全理解并同意</w:t>
      </w:r>
      <w:r>
        <w:rPr>
          <w:rFonts w:ascii="宋体" w:hAnsi="宋体" w:eastAsia="宋体" w:cs="宋体"/>
          <w:color w:val="auto"/>
          <w:spacing w:val="-4"/>
          <w:sz w:val="24"/>
          <w:szCs w:val="24"/>
          <w:highlight w:val="none"/>
        </w:rPr>
        <w:t>本询价通知书。一经进入询价程序，</w:t>
      </w:r>
      <w:r>
        <w:rPr>
          <w:rFonts w:ascii="宋体" w:hAnsi="宋体" w:eastAsia="宋体" w:cs="宋体"/>
          <w:color w:val="auto"/>
          <w:spacing w:val="1"/>
          <w:sz w:val="24"/>
          <w:szCs w:val="24"/>
          <w:highlight w:val="none"/>
        </w:rPr>
        <w:t>即视为供应商已详细阅读全部文件资料，完全理解询价通知书所有条款内容并同意放弃对</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这方面有不明白及误解的权利。</w:t>
      </w:r>
    </w:p>
    <w:p w14:paraId="398255D3">
      <w:pPr>
        <w:spacing w:before="1" w:line="241" w:lineRule="auto"/>
        <w:ind w:left="488"/>
        <w:outlineLvl w:val="9"/>
        <w:rPr>
          <w:rFonts w:ascii="黑体" w:hAnsi="黑体" w:eastAsia="黑体" w:cs="黑体"/>
          <w:color w:val="auto"/>
          <w:sz w:val="24"/>
          <w:szCs w:val="24"/>
          <w:highlight w:val="none"/>
        </w:rPr>
      </w:pPr>
      <w:bookmarkStart w:id="11" w:name="bookmark29"/>
      <w:bookmarkEnd w:id="11"/>
      <w:r>
        <w:rPr>
          <w:rFonts w:ascii="黑体" w:hAnsi="黑体" w:eastAsia="黑体" w:cs="黑体"/>
          <w:color w:val="auto"/>
          <w:spacing w:val="-3"/>
          <w:sz w:val="24"/>
          <w:szCs w:val="24"/>
          <w:highlight w:val="none"/>
        </w:rPr>
        <w:t>三、询价要求</w:t>
      </w:r>
    </w:p>
    <w:p w14:paraId="48141B53">
      <w:pPr>
        <w:spacing w:before="95" w:line="192" w:lineRule="auto"/>
        <w:ind w:left="465"/>
        <w:outlineLvl w:val="9"/>
        <w:rPr>
          <w:rFonts w:ascii="微软雅黑" w:hAnsi="微软雅黑" w:eastAsia="微软雅黑" w:cs="微软雅黑"/>
          <w:color w:val="auto"/>
          <w:sz w:val="24"/>
          <w:szCs w:val="24"/>
          <w:highlight w:val="none"/>
        </w:rPr>
      </w:pPr>
      <w:bookmarkStart w:id="12" w:name="_Toc9252"/>
      <w:r>
        <w:rPr>
          <w:rFonts w:ascii="微软雅黑" w:hAnsi="微软雅黑" w:eastAsia="微软雅黑" w:cs="微软雅黑"/>
          <w:color w:val="auto"/>
          <w:sz w:val="24"/>
          <w:szCs w:val="24"/>
          <w:highlight w:val="none"/>
        </w:rPr>
        <w:t>（一）响应文件</w:t>
      </w:r>
      <w:bookmarkEnd w:id="12"/>
    </w:p>
    <w:p w14:paraId="1AF56F8F">
      <w:pPr>
        <w:spacing w:before="74" w:line="307" w:lineRule="auto"/>
        <w:ind w:right="80" w:firstLine="479"/>
        <w:jc w:val="both"/>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供应商应当按照询价通知书的要求编制响应文件，并对询价通知书提出的要求和条件</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rPr>
        <w:t>作出实质性响应，响应文件原则上采用软面订本，</w:t>
      </w:r>
      <w:r>
        <w:rPr>
          <w:rFonts w:ascii="宋体" w:hAnsi="宋体" w:eastAsia="宋体" w:cs="宋体"/>
          <w:color w:val="auto"/>
          <w:spacing w:val="-1"/>
          <w:sz w:val="24"/>
          <w:szCs w:val="24"/>
          <w:highlight w:val="none"/>
        </w:rPr>
        <w:t>同时应编制完整的页码、目录（注：询</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价通知书中规定的需要提供相关原件或者加盖制造商鲜章的资料作为响应文件的组成部分</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时，该部分资料可不标注页码）。</w:t>
      </w:r>
    </w:p>
    <w:p w14:paraId="02D87120">
      <w:pPr>
        <w:spacing w:line="220" w:lineRule="auto"/>
        <w:ind w:left="497"/>
        <w:outlineLvl w:val="9"/>
        <w:rPr>
          <w:rFonts w:ascii="宋体" w:hAnsi="宋体" w:eastAsia="宋体" w:cs="宋体"/>
          <w:color w:val="auto"/>
          <w:sz w:val="24"/>
          <w:szCs w:val="24"/>
          <w:highlight w:val="none"/>
        </w:rPr>
      </w:pPr>
      <w:bookmarkStart w:id="13" w:name="_Toc14332"/>
      <w:r>
        <w:rPr>
          <w:rFonts w:ascii="宋体" w:hAnsi="宋体" w:eastAsia="宋体" w:cs="宋体"/>
          <w:color w:val="auto"/>
          <w:spacing w:val="-4"/>
          <w:sz w:val="24"/>
          <w:szCs w:val="24"/>
          <w:highlight w:val="none"/>
        </w:rPr>
        <w:t>1.响应文件组成</w:t>
      </w:r>
      <w:bookmarkEnd w:id="13"/>
    </w:p>
    <w:p w14:paraId="6B3BC5A6">
      <w:pPr>
        <w:spacing w:before="114" w:line="308" w:lineRule="auto"/>
        <w:ind w:right="80" w:firstLine="49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响应文件包括纸质文件和电子文件。电子文件内容应当</w:t>
      </w:r>
      <w:r>
        <w:rPr>
          <w:rFonts w:hint="eastAsia" w:ascii="宋体" w:hAnsi="宋体" w:eastAsia="宋体" w:cs="宋体"/>
          <w:color w:val="auto"/>
          <w:spacing w:val="1"/>
          <w:sz w:val="24"/>
          <w:szCs w:val="24"/>
          <w:highlight w:val="none"/>
          <w:lang w:val="en-US" w:eastAsia="zh-CN"/>
        </w:rPr>
        <w:t>与</w:t>
      </w:r>
      <w:r>
        <w:rPr>
          <w:rFonts w:ascii="宋体" w:hAnsi="宋体" w:eastAsia="宋体" w:cs="宋体"/>
          <w:color w:val="auto"/>
          <w:spacing w:val="1"/>
          <w:sz w:val="24"/>
          <w:szCs w:val="24"/>
          <w:highlight w:val="none"/>
        </w:rPr>
        <w:t>纸质文件正本一致</w:t>
      </w:r>
      <w:r>
        <w:rPr>
          <w:rFonts w:ascii="宋体" w:hAnsi="宋体" w:eastAsia="宋体" w:cs="宋体"/>
          <w:color w:val="auto"/>
          <w:sz w:val="24"/>
          <w:szCs w:val="24"/>
          <w:highlight w:val="none"/>
        </w:rPr>
        <w:t>；纸质文件由第六篇“响应文件格式要求</w:t>
      </w:r>
      <w:r>
        <w:rPr>
          <w:rFonts w:ascii="宋体" w:hAnsi="宋体" w:eastAsia="宋体" w:cs="宋体"/>
          <w:color w:val="auto"/>
          <w:spacing w:val="-78"/>
          <w:sz w:val="24"/>
          <w:szCs w:val="24"/>
          <w:highlight w:val="none"/>
        </w:rPr>
        <w:t xml:space="preserve"> </w:t>
      </w:r>
      <w:r>
        <w:rPr>
          <w:rFonts w:ascii="宋体" w:hAnsi="宋体" w:eastAsia="宋体" w:cs="宋体"/>
          <w:color w:val="auto"/>
          <w:sz w:val="24"/>
          <w:szCs w:val="24"/>
          <w:highlight w:val="none"/>
        </w:rPr>
        <w:t>”规定的部分和供应商所作的一切有效补</w:t>
      </w:r>
      <w:r>
        <w:rPr>
          <w:rFonts w:ascii="宋体" w:hAnsi="宋体" w:eastAsia="宋体" w:cs="宋体"/>
          <w:color w:val="auto"/>
          <w:spacing w:val="1"/>
          <w:sz w:val="24"/>
          <w:szCs w:val="24"/>
          <w:highlight w:val="none"/>
        </w:rPr>
        <w:t>充、修改和承诺等文件组成，也可在基本格式基础上对表格进行扩展，未规定格式的由供</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应商自定格式。</w:t>
      </w:r>
    </w:p>
    <w:p w14:paraId="5F8E67A4">
      <w:pPr>
        <w:spacing w:before="1" w:line="221" w:lineRule="auto"/>
        <w:ind w:left="482"/>
        <w:outlineLvl w:val="9"/>
        <w:rPr>
          <w:rFonts w:ascii="宋体" w:hAnsi="宋体" w:eastAsia="宋体" w:cs="宋体"/>
          <w:color w:val="auto"/>
          <w:sz w:val="24"/>
          <w:szCs w:val="24"/>
          <w:highlight w:val="none"/>
        </w:rPr>
      </w:pPr>
      <w:bookmarkStart w:id="14" w:name="_Toc29984"/>
      <w:r>
        <w:rPr>
          <w:rFonts w:ascii="宋体" w:hAnsi="宋体" w:eastAsia="宋体" w:cs="宋体"/>
          <w:color w:val="auto"/>
          <w:spacing w:val="-3"/>
          <w:sz w:val="24"/>
          <w:szCs w:val="24"/>
          <w:highlight w:val="none"/>
        </w:rPr>
        <w:t>2.联合体</w:t>
      </w:r>
      <w:bookmarkEnd w:id="14"/>
    </w:p>
    <w:p w14:paraId="5DD5F995">
      <w:pPr>
        <w:spacing w:before="111" w:line="219" w:lineRule="auto"/>
        <w:ind w:left="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本项目不接受联合体响应。</w:t>
      </w:r>
    </w:p>
    <w:p w14:paraId="54846F32">
      <w:pPr>
        <w:spacing w:before="115" w:line="219" w:lineRule="auto"/>
        <w:ind w:left="484"/>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3.询价有效期：响应文件及有关承诺文件有效期为询价开始时间起</w:t>
      </w:r>
      <w:r>
        <w:rPr>
          <w:rFonts w:ascii="宋体" w:hAnsi="宋体" w:eastAsia="宋体" w:cs="宋体"/>
          <w:color w:val="auto"/>
          <w:sz w:val="24"/>
          <w:szCs w:val="24"/>
          <w:highlight w:val="none"/>
        </w:rPr>
        <w:t>90</w:t>
      </w:r>
      <w:r>
        <w:rPr>
          <w:rFonts w:ascii="宋体" w:hAnsi="宋体" w:eastAsia="宋体" w:cs="宋体"/>
          <w:color w:val="auto"/>
          <w:spacing w:val="-46"/>
          <w:sz w:val="24"/>
          <w:szCs w:val="24"/>
          <w:highlight w:val="none"/>
        </w:rPr>
        <w:t xml:space="preserve"> </w:t>
      </w:r>
      <w:r>
        <w:rPr>
          <w:rFonts w:ascii="宋体" w:hAnsi="宋体" w:eastAsia="宋体" w:cs="宋体"/>
          <w:color w:val="auto"/>
          <w:sz w:val="24"/>
          <w:szCs w:val="24"/>
          <w:highlight w:val="none"/>
        </w:rPr>
        <w:t>天。</w:t>
      </w:r>
    </w:p>
    <w:p w14:paraId="721544D1">
      <w:pPr>
        <w:spacing w:before="113" w:line="192" w:lineRule="auto"/>
        <w:ind w:left="465"/>
        <w:outlineLvl w:val="9"/>
        <w:rPr>
          <w:rFonts w:ascii="微软雅黑" w:hAnsi="微软雅黑" w:eastAsia="微软雅黑" w:cs="微软雅黑"/>
          <w:color w:val="auto"/>
          <w:sz w:val="24"/>
          <w:szCs w:val="24"/>
          <w:highlight w:val="none"/>
        </w:rPr>
      </w:pPr>
      <w:bookmarkStart w:id="15" w:name="_Toc4314"/>
      <w:r>
        <w:rPr>
          <w:rFonts w:ascii="微软雅黑" w:hAnsi="微软雅黑" w:eastAsia="微软雅黑" w:cs="微软雅黑"/>
          <w:color w:val="auto"/>
          <w:spacing w:val="-11"/>
          <w:sz w:val="24"/>
          <w:szCs w:val="24"/>
          <w:highlight w:val="none"/>
        </w:rPr>
        <w:t>（</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1"/>
          <w:sz w:val="24"/>
          <w:szCs w:val="24"/>
          <w:highlight w:val="none"/>
        </w:rPr>
        <w:t>二</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1"/>
          <w:sz w:val="24"/>
          <w:szCs w:val="24"/>
          <w:highlight w:val="none"/>
        </w:rPr>
        <w:t>）响应保证金：</w:t>
      </w:r>
      <w:bookmarkEnd w:id="15"/>
    </w:p>
    <w:p w14:paraId="00F948B5">
      <w:pPr>
        <w:spacing w:before="73" w:line="219" w:lineRule="auto"/>
        <w:ind w:left="497"/>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1.供应商提交保证金金额和方式详见“</w:t>
      </w:r>
      <w:r>
        <w:rPr>
          <w:rFonts w:ascii="宋体" w:hAnsi="宋体" w:eastAsia="宋体" w:cs="宋体"/>
          <w:b/>
          <w:bCs/>
          <w:color w:val="auto"/>
          <w:spacing w:val="-2"/>
          <w:sz w:val="24"/>
          <w:szCs w:val="24"/>
          <w:highlight w:val="none"/>
          <w:u w:val="single" w:color="auto"/>
        </w:rPr>
        <w:t>第一篇</w:t>
      </w:r>
      <w:r>
        <w:rPr>
          <w:rFonts w:ascii="宋体" w:hAnsi="宋体" w:eastAsia="宋体" w:cs="宋体"/>
          <w:color w:val="auto"/>
          <w:spacing w:val="-78"/>
          <w:sz w:val="24"/>
          <w:szCs w:val="24"/>
          <w:highlight w:val="none"/>
          <w:u w:val="single" w:color="auto"/>
        </w:rPr>
        <w:t xml:space="preserve"> </w:t>
      </w:r>
      <w:r>
        <w:rPr>
          <w:rFonts w:ascii="宋体" w:hAnsi="宋体" w:eastAsia="宋体" w:cs="宋体"/>
          <w:b/>
          <w:bCs/>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2265F3AE">
      <w:pPr>
        <w:spacing w:before="115" w:line="221" w:lineRule="auto"/>
        <w:ind w:left="4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2.发生以下情况之一者，保证金不予退还：</w:t>
      </w:r>
    </w:p>
    <w:p w14:paraId="7026A5EE">
      <w:pPr>
        <w:spacing w:before="114" w:line="219" w:lineRule="auto"/>
        <w:ind w:left="4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供应商在提交响应文件截止时间后撤回响应文件的；</w:t>
      </w:r>
    </w:p>
    <w:p w14:paraId="16855ABF">
      <w:pPr>
        <w:spacing w:before="114" w:line="219" w:lineRule="auto"/>
        <w:ind w:left="482"/>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供应商在响应文件中提供虚假材料的</w:t>
      </w:r>
    </w:p>
    <w:p w14:paraId="78A7E145">
      <w:pPr>
        <w:spacing w:before="115" w:line="219" w:lineRule="auto"/>
        <w:jc w:val="right"/>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w:t>
      </w:r>
      <w:r>
        <w:rPr>
          <w:rFonts w:ascii="宋体" w:hAnsi="宋体" w:eastAsia="宋体" w:cs="宋体"/>
          <w:color w:val="auto"/>
          <w:spacing w:val="-24"/>
          <w:sz w:val="24"/>
          <w:szCs w:val="24"/>
          <w:highlight w:val="none"/>
        </w:rPr>
        <w:t xml:space="preserve"> </w:t>
      </w:r>
      <w:r>
        <w:rPr>
          <w:rFonts w:ascii="宋体" w:hAnsi="宋体" w:eastAsia="宋体" w:cs="宋体"/>
          <w:color w:val="auto"/>
          <w:spacing w:val="-3"/>
          <w:sz w:val="24"/>
          <w:szCs w:val="24"/>
          <w:highlight w:val="none"/>
        </w:rPr>
        <w:t>除因不可抗力或询价通知书认可的情形以外，成交供应商不与采购人签订合同的；</w:t>
      </w:r>
    </w:p>
    <w:p w14:paraId="54EA0931">
      <w:pPr>
        <w:spacing w:line="219" w:lineRule="auto"/>
        <w:outlineLvl w:val="9"/>
        <w:rPr>
          <w:rFonts w:ascii="宋体" w:hAnsi="宋体" w:eastAsia="宋体" w:cs="宋体"/>
          <w:color w:val="auto"/>
          <w:sz w:val="24"/>
          <w:szCs w:val="24"/>
          <w:highlight w:val="none"/>
        </w:rPr>
        <w:sectPr>
          <w:footerReference r:id="rId8" w:type="default"/>
          <w:pgSz w:w="11907" w:h="16840"/>
          <w:pgMar w:top="1171" w:right="1110" w:bottom="1127" w:left="1312" w:header="0" w:footer="878" w:gutter="0"/>
          <w:pgNumType w:fmt="decimal"/>
          <w:cols w:space="720" w:num="1"/>
          <w:titlePg/>
        </w:sectPr>
      </w:pPr>
    </w:p>
    <w:p w14:paraId="4C3EFC43">
      <w:pPr>
        <w:spacing w:before="48"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供应商与采购人、其他供应商恶意串通的；</w:t>
      </w:r>
    </w:p>
    <w:p w14:paraId="55A7827F">
      <w:pPr>
        <w:spacing w:before="112" w:line="219" w:lineRule="auto"/>
        <w:ind w:left="483"/>
        <w:outlineLvl w:val="9"/>
        <w:rPr>
          <w:rFonts w:ascii="宋体" w:hAnsi="宋体" w:eastAsia="宋体" w:cs="宋体"/>
          <w:color w:val="auto"/>
          <w:sz w:val="24"/>
          <w:szCs w:val="24"/>
          <w:highlight w:val="none"/>
        </w:rPr>
      </w:pPr>
      <w:bookmarkStart w:id="16" w:name="_Toc19623"/>
      <w:r>
        <w:rPr>
          <w:rFonts w:ascii="宋体" w:hAnsi="宋体" w:eastAsia="宋体" w:cs="宋体"/>
          <w:color w:val="auto"/>
          <w:spacing w:val="-2"/>
          <w:sz w:val="24"/>
          <w:szCs w:val="24"/>
          <w:highlight w:val="none"/>
        </w:rPr>
        <w:t>2.5</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询价通知书规定的其他情形。</w:t>
      </w:r>
      <w:bookmarkEnd w:id="16"/>
    </w:p>
    <w:p w14:paraId="610D5633">
      <w:pPr>
        <w:spacing w:before="115" w:line="192" w:lineRule="auto"/>
        <w:ind w:left="466"/>
        <w:outlineLvl w:val="9"/>
        <w:rPr>
          <w:rFonts w:ascii="微软雅黑" w:hAnsi="微软雅黑" w:eastAsia="微软雅黑" w:cs="微软雅黑"/>
          <w:color w:val="auto"/>
          <w:sz w:val="24"/>
          <w:szCs w:val="24"/>
          <w:highlight w:val="none"/>
        </w:rPr>
      </w:pPr>
      <w:bookmarkStart w:id="17" w:name="_Toc4867"/>
      <w:r>
        <w:rPr>
          <w:rFonts w:ascii="微软雅黑" w:hAnsi="微软雅黑" w:eastAsia="微软雅黑" w:cs="微软雅黑"/>
          <w:color w:val="auto"/>
          <w:spacing w:val="-14"/>
          <w:sz w:val="24"/>
          <w:szCs w:val="24"/>
          <w:highlight w:val="none"/>
        </w:rPr>
        <w:t>（ 三</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14"/>
          <w:sz w:val="24"/>
          <w:szCs w:val="24"/>
          <w:highlight w:val="none"/>
        </w:rPr>
        <w:t>）修正错误</w:t>
      </w:r>
      <w:bookmarkEnd w:id="17"/>
    </w:p>
    <w:p w14:paraId="6EF28517">
      <w:pPr>
        <w:spacing w:before="72" w:line="220" w:lineRule="auto"/>
        <w:ind w:left="481"/>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若响应文件出现计算或表达上的错误，修正错误的原则如下：</w:t>
      </w:r>
    </w:p>
    <w:p w14:paraId="394C9542">
      <w:pPr>
        <w:spacing w:before="112" w:line="219" w:lineRule="auto"/>
        <w:ind w:left="498"/>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1.响应文件中报价函的内容与响应文件中相应内容不一致的，以报价函为准；</w:t>
      </w:r>
    </w:p>
    <w:p w14:paraId="174B0412">
      <w:pPr>
        <w:spacing w:before="116" w:line="220" w:lineRule="auto"/>
        <w:ind w:left="483"/>
        <w:outlineLvl w:val="9"/>
        <w:rPr>
          <w:rFonts w:ascii="宋体" w:hAnsi="宋体" w:eastAsia="宋体" w:cs="宋体"/>
          <w:color w:val="auto"/>
          <w:sz w:val="24"/>
          <w:szCs w:val="24"/>
          <w:highlight w:val="none"/>
        </w:rPr>
      </w:pPr>
      <w:bookmarkStart w:id="18" w:name="_Toc7832"/>
      <w:r>
        <w:rPr>
          <w:rFonts w:ascii="宋体" w:hAnsi="宋体" w:eastAsia="宋体" w:cs="宋体"/>
          <w:color w:val="auto"/>
          <w:spacing w:val="-1"/>
          <w:sz w:val="24"/>
          <w:szCs w:val="24"/>
          <w:highlight w:val="none"/>
        </w:rPr>
        <w:t>2.大写金额和小写金额不一致的，以大写金额为准；</w:t>
      </w:r>
      <w:bookmarkEnd w:id="18"/>
    </w:p>
    <w:p w14:paraId="53F937A4">
      <w:pPr>
        <w:spacing w:before="115" w:line="219" w:lineRule="auto"/>
        <w:ind w:left="485"/>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3.单价金额小数点或者百分比有明显错位的</w:t>
      </w:r>
      <w:r>
        <w:rPr>
          <w:rFonts w:ascii="宋体" w:hAnsi="宋体" w:eastAsia="宋体" w:cs="宋体"/>
          <w:color w:val="auto"/>
          <w:spacing w:val="-1"/>
          <w:sz w:val="24"/>
          <w:szCs w:val="24"/>
          <w:highlight w:val="none"/>
        </w:rPr>
        <w:t>，以报价函总价为准，并修改单价；</w:t>
      </w:r>
    </w:p>
    <w:p w14:paraId="46C33BB2">
      <w:pPr>
        <w:spacing w:before="113" w:line="219" w:lineRule="auto"/>
        <w:ind w:left="48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4.总价金额与按单价汇总金额不一致的，以单</w:t>
      </w:r>
      <w:r>
        <w:rPr>
          <w:rFonts w:ascii="宋体" w:hAnsi="宋体" w:eastAsia="宋体" w:cs="宋体"/>
          <w:color w:val="auto"/>
          <w:spacing w:val="-1"/>
          <w:sz w:val="24"/>
          <w:szCs w:val="24"/>
          <w:highlight w:val="none"/>
        </w:rPr>
        <w:t>价金额计算结果为准。</w:t>
      </w:r>
    </w:p>
    <w:p w14:paraId="6827BC23">
      <w:pPr>
        <w:spacing w:before="119" w:line="307" w:lineRule="auto"/>
        <w:ind w:left="4" w:right="98" w:firstLine="476"/>
        <w:jc w:val="both"/>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询价小组按上述修正错误的原则及方法调整或修正供应商报价，若同时出现两种以上</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不一致的，按照前款规定的顺序修正，供应商同意并签字确认后，调整后的报价对供应商</w:t>
      </w:r>
      <w:r>
        <w:rPr>
          <w:rFonts w:ascii="宋体" w:hAnsi="宋体" w:eastAsia="宋体" w:cs="宋体"/>
          <w:color w:val="auto"/>
          <w:sz w:val="24"/>
          <w:szCs w:val="24"/>
          <w:highlight w:val="none"/>
        </w:rPr>
        <w:t xml:space="preserve"> 具有约束作用。如果供应商不接受修正后的报价</w:t>
      </w:r>
      <w:r>
        <w:rPr>
          <w:rFonts w:ascii="宋体" w:hAnsi="宋体" w:eastAsia="宋体" w:cs="宋体"/>
          <w:color w:val="auto"/>
          <w:spacing w:val="-1"/>
          <w:sz w:val="24"/>
          <w:szCs w:val="24"/>
          <w:highlight w:val="none"/>
        </w:rPr>
        <w:t>，则其响应将作为无效响应处理。</w:t>
      </w:r>
    </w:p>
    <w:p w14:paraId="791FA3E0">
      <w:pPr>
        <w:spacing w:line="192" w:lineRule="auto"/>
        <w:ind w:left="466"/>
        <w:outlineLvl w:val="9"/>
        <w:rPr>
          <w:rFonts w:ascii="微软雅黑" w:hAnsi="微软雅黑" w:eastAsia="微软雅黑" w:cs="微软雅黑"/>
          <w:color w:val="auto"/>
          <w:sz w:val="24"/>
          <w:szCs w:val="24"/>
          <w:highlight w:val="none"/>
        </w:rPr>
      </w:pPr>
      <w:bookmarkStart w:id="19" w:name="_Toc15373"/>
      <w:r>
        <w:rPr>
          <w:rFonts w:ascii="微软雅黑" w:hAnsi="微软雅黑" w:eastAsia="微软雅黑" w:cs="微软雅黑"/>
          <w:color w:val="auto"/>
          <w:spacing w:val="-7"/>
          <w:sz w:val="24"/>
          <w:szCs w:val="24"/>
          <w:highlight w:val="none"/>
        </w:rPr>
        <w:t>（ 四</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7"/>
          <w:sz w:val="24"/>
          <w:szCs w:val="24"/>
          <w:highlight w:val="none"/>
        </w:rPr>
        <w:t>）提交响应文件的份数和签署</w:t>
      </w:r>
      <w:bookmarkEnd w:id="19"/>
    </w:p>
    <w:p w14:paraId="4F8D7AF6">
      <w:pPr>
        <w:spacing w:before="72" w:line="278" w:lineRule="auto"/>
        <w:ind w:right="97" w:firstLine="497"/>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1.响应文件一式</w:t>
      </w:r>
      <w:r>
        <w:rPr>
          <w:rFonts w:hint="eastAsia" w:ascii="宋体" w:hAnsi="宋体" w:eastAsia="宋体" w:cs="宋体"/>
          <w:color w:val="auto"/>
          <w:spacing w:val="1"/>
          <w:sz w:val="24"/>
          <w:szCs w:val="24"/>
          <w:highlight w:val="none"/>
          <w:lang w:val="en-US" w:eastAsia="zh-CN"/>
        </w:rPr>
        <w:t>三</w:t>
      </w:r>
      <w:r>
        <w:rPr>
          <w:rFonts w:ascii="宋体" w:hAnsi="宋体" w:eastAsia="宋体" w:cs="宋体"/>
          <w:color w:val="auto"/>
          <w:spacing w:val="1"/>
          <w:sz w:val="24"/>
          <w:szCs w:val="24"/>
          <w:highlight w:val="none"/>
        </w:rPr>
        <w:t>份，其中正本一份，副本</w:t>
      </w:r>
      <w:r>
        <w:rPr>
          <w:rFonts w:hint="eastAsia" w:ascii="宋体" w:hAnsi="宋体" w:eastAsia="宋体" w:cs="宋体"/>
          <w:color w:val="auto"/>
          <w:spacing w:val="1"/>
          <w:sz w:val="24"/>
          <w:szCs w:val="24"/>
          <w:highlight w:val="none"/>
          <w:lang w:val="en-US" w:eastAsia="zh-CN"/>
        </w:rPr>
        <w:t>一</w:t>
      </w:r>
      <w:r>
        <w:rPr>
          <w:rFonts w:ascii="宋体" w:hAnsi="宋体" w:eastAsia="宋体" w:cs="宋体"/>
          <w:color w:val="auto"/>
          <w:spacing w:val="1"/>
          <w:sz w:val="24"/>
          <w:szCs w:val="24"/>
          <w:highlight w:val="none"/>
        </w:rPr>
        <w:t>份，电</w:t>
      </w:r>
      <w:r>
        <w:rPr>
          <w:rFonts w:ascii="宋体" w:hAnsi="宋体" w:eastAsia="宋体" w:cs="宋体"/>
          <w:color w:val="auto"/>
          <w:sz w:val="24"/>
          <w:szCs w:val="24"/>
          <w:highlight w:val="none"/>
        </w:rPr>
        <w:t xml:space="preserve">子文档一份（电子文档为正本扫 </w:t>
      </w:r>
      <w:r>
        <w:rPr>
          <w:rFonts w:ascii="宋体" w:hAnsi="宋体" w:eastAsia="宋体" w:cs="宋体"/>
          <w:color w:val="auto"/>
          <w:spacing w:val="2"/>
          <w:sz w:val="24"/>
          <w:szCs w:val="24"/>
          <w:highlight w:val="none"/>
        </w:rPr>
        <w:t>描件内容应与纸质文件正本一致，如不一致以纸质文件正本为准。采用U</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盘为电子文档载</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体</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副本可为正本的复印件，应与正本一致，如出现不一致情况以正本为准。</w:t>
      </w:r>
    </w:p>
    <w:p w14:paraId="046196C2">
      <w:pPr>
        <w:spacing w:before="116" w:line="263" w:lineRule="auto"/>
        <w:ind w:left="4" w:right="98" w:firstLine="47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2.在响应文件正本中，询价采购文件第六篇响应文件格式中规定签字、盖章的地方必 </w:t>
      </w:r>
      <w:r>
        <w:rPr>
          <w:rFonts w:ascii="宋体" w:hAnsi="宋体" w:eastAsia="宋体" w:cs="宋体"/>
          <w:color w:val="auto"/>
          <w:spacing w:val="-2"/>
          <w:sz w:val="24"/>
          <w:szCs w:val="24"/>
          <w:highlight w:val="none"/>
        </w:rPr>
        <w:t>须按其规定签字、盖章。</w:t>
      </w:r>
    </w:p>
    <w:p w14:paraId="5A9AE721">
      <w:pPr>
        <w:spacing w:before="112" w:line="192" w:lineRule="auto"/>
        <w:ind w:left="466"/>
        <w:outlineLvl w:val="9"/>
        <w:rPr>
          <w:rFonts w:ascii="微软雅黑" w:hAnsi="微软雅黑" w:eastAsia="微软雅黑" w:cs="微软雅黑"/>
          <w:color w:val="auto"/>
          <w:sz w:val="24"/>
          <w:szCs w:val="24"/>
          <w:highlight w:val="none"/>
        </w:rPr>
      </w:pPr>
      <w:bookmarkStart w:id="20" w:name="_Toc5211"/>
      <w:r>
        <w:rPr>
          <w:rFonts w:ascii="微软雅黑" w:hAnsi="微软雅黑" w:eastAsia="微软雅黑" w:cs="微软雅黑"/>
          <w:color w:val="auto"/>
          <w:sz w:val="24"/>
          <w:szCs w:val="24"/>
          <w:highlight w:val="none"/>
        </w:rPr>
        <w:t>（五）响应文件的递交</w:t>
      </w:r>
      <w:bookmarkEnd w:id="20"/>
    </w:p>
    <w:p w14:paraId="62A06FEB">
      <w:pPr>
        <w:spacing w:before="72" w:line="220" w:lineRule="auto"/>
        <w:ind w:left="498"/>
        <w:outlineLvl w:val="9"/>
        <w:rPr>
          <w:rFonts w:ascii="宋体" w:hAnsi="宋体" w:eastAsia="宋体" w:cs="宋体"/>
          <w:color w:val="auto"/>
          <w:sz w:val="24"/>
          <w:szCs w:val="24"/>
          <w:highlight w:val="none"/>
        </w:rPr>
      </w:pPr>
      <w:bookmarkStart w:id="21" w:name="_Toc21020"/>
      <w:r>
        <w:rPr>
          <w:rFonts w:ascii="宋体" w:hAnsi="宋体" w:eastAsia="宋体" w:cs="宋体"/>
          <w:color w:val="auto"/>
          <w:spacing w:val="-3"/>
          <w:sz w:val="24"/>
          <w:szCs w:val="24"/>
          <w:highlight w:val="none"/>
        </w:rPr>
        <w:t>1.响应文件的密封与标记</w:t>
      </w:r>
      <w:bookmarkEnd w:id="21"/>
    </w:p>
    <w:p w14:paraId="30C63537">
      <w:pPr>
        <w:spacing w:before="114" w:line="308" w:lineRule="auto"/>
        <w:ind w:firstLine="422"/>
        <w:outlineLvl w:val="9"/>
        <w:rPr>
          <w:rFonts w:ascii="宋体" w:hAnsi="宋体" w:eastAsia="宋体" w:cs="宋体"/>
          <w:color w:val="auto"/>
          <w:sz w:val="24"/>
          <w:szCs w:val="24"/>
          <w:highlight w:val="none"/>
        </w:rPr>
      </w:pPr>
      <w:r>
        <w:rPr>
          <w:rFonts w:ascii="宋体" w:hAnsi="宋体" w:eastAsia="宋体" w:cs="宋体"/>
          <w:b/>
          <w:bCs/>
          <w:color w:val="auto"/>
          <w:spacing w:val="-27"/>
          <w:w w:val="94"/>
          <w:sz w:val="24"/>
          <w:szCs w:val="24"/>
          <w:highlight w:val="none"/>
          <w:u w:val="single" w:color="auto"/>
        </w:rPr>
        <w:t>响应文件的正本、副本、电子文档均应密封送达递交响应文件地</w:t>
      </w:r>
      <w:r>
        <w:rPr>
          <w:rFonts w:ascii="宋体" w:hAnsi="宋体" w:eastAsia="宋体" w:cs="宋体"/>
          <w:b/>
          <w:bCs/>
          <w:color w:val="auto"/>
          <w:spacing w:val="-27"/>
          <w:w w:val="94"/>
          <w:sz w:val="24"/>
          <w:szCs w:val="24"/>
          <w:highlight w:val="none"/>
        </w:rPr>
        <w:t>点</w:t>
      </w:r>
      <w:r>
        <w:rPr>
          <w:rFonts w:ascii="宋体" w:hAnsi="宋体" w:eastAsia="宋体" w:cs="宋体"/>
          <w:color w:val="auto"/>
          <w:spacing w:val="-27"/>
          <w:w w:val="94"/>
          <w:sz w:val="24"/>
          <w:szCs w:val="24"/>
          <w:highlight w:val="none"/>
        </w:rPr>
        <w:t>。信封上注明项目名称、分包号（若</w:t>
      </w:r>
      <w:r>
        <w:rPr>
          <w:rFonts w:ascii="宋体" w:hAnsi="宋体" w:eastAsia="宋体" w:cs="宋体"/>
          <w:color w:val="auto"/>
          <w:spacing w:val="2"/>
          <w:sz w:val="24"/>
          <w:szCs w:val="24"/>
          <w:highlight w:val="none"/>
        </w:rPr>
        <w:t xml:space="preserve">  </w:t>
      </w:r>
      <w:r>
        <w:rPr>
          <w:rFonts w:ascii="宋体" w:hAnsi="宋体" w:eastAsia="宋体" w:cs="宋体"/>
          <w:color w:val="auto"/>
          <w:spacing w:val="-31"/>
          <w:w w:val="97"/>
          <w:sz w:val="24"/>
          <w:szCs w:val="24"/>
          <w:highlight w:val="none"/>
        </w:rPr>
        <w:t>有）、供应商名称和地址（若正本、副本分别进行密封的，还应在封套上注明“正本”、“副本”字样）。</w:t>
      </w:r>
      <w:r>
        <w:rPr>
          <w:rFonts w:ascii="宋体" w:hAnsi="宋体" w:eastAsia="宋体" w:cs="宋体"/>
          <w:color w:val="auto"/>
          <w:spacing w:val="15"/>
          <w:sz w:val="24"/>
          <w:szCs w:val="24"/>
          <w:highlight w:val="none"/>
        </w:rPr>
        <w:t xml:space="preserve"> </w:t>
      </w:r>
      <w:r>
        <w:rPr>
          <w:rFonts w:ascii="宋体" w:hAnsi="宋体" w:eastAsia="宋体" w:cs="宋体"/>
          <w:color w:val="auto"/>
          <w:spacing w:val="-22"/>
          <w:w w:val="95"/>
          <w:sz w:val="24"/>
          <w:szCs w:val="24"/>
          <w:highlight w:val="none"/>
        </w:rPr>
        <w:t>信封封口处应加盖供应商公章或法人授权代表签字。</w:t>
      </w:r>
    </w:p>
    <w:p w14:paraId="0CB93F09">
      <w:pPr>
        <w:spacing w:line="219" w:lineRule="auto"/>
        <w:ind w:left="483"/>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2.如果未按上述规定进行密封与标记的，采</w:t>
      </w:r>
      <w:r>
        <w:rPr>
          <w:rFonts w:ascii="宋体" w:hAnsi="宋体" w:eastAsia="宋体" w:cs="宋体"/>
          <w:color w:val="auto"/>
          <w:spacing w:val="-1"/>
          <w:sz w:val="24"/>
          <w:szCs w:val="24"/>
          <w:highlight w:val="none"/>
        </w:rPr>
        <w:t>购人将拒收其</w:t>
      </w:r>
      <w:r>
        <w:rPr>
          <w:rFonts w:hint="eastAsia" w:ascii="宋体" w:hAnsi="宋体" w:eastAsia="宋体" w:cs="宋体"/>
          <w:color w:val="auto"/>
          <w:spacing w:val="-1"/>
          <w:sz w:val="24"/>
          <w:szCs w:val="24"/>
          <w:highlight w:val="none"/>
          <w:lang w:val="en-US" w:eastAsia="zh-CN"/>
        </w:rPr>
        <w:t>响应文件</w:t>
      </w:r>
      <w:r>
        <w:rPr>
          <w:rFonts w:ascii="宋体" w:hAnsi="宋体" w:eastAsia="宋体" w:cs="宋体"/>
          <w:color w:val="auto"/>
          <w:spacing w:val="-1"/>
          <w:sz w:val="24"/>
          <w:szCs w:val="24"/>
          <w:highlight w:val="none"/>
        </w:rPr>
        <w:t>。</w:t>
      </w:r>
    </w:p>
    <w:p w14:paraId="3BC24500">
      <w:pPr>
        <w:spacing w:before="115" w:line="286" w:lineRule="auto"/>
        <w:ind w:right="34" w:firstLine="484"/>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3.响应文件投递截止时间：见询价通知书第一篇。供应商在提交响应文件截止时间前，</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可以对所提交的响应文件进行补充、修改或者撤回，并书面通知采购人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补充、修改的内容作为响应文件的组成部分。补充、修改的内容与响应文件不一致的，以</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补充、修改的内容为准。</w:t>
      </w:r>
    </w:p>
    <w:p w14:paraId="7F60122D">
      <w:pPr>
        <w:spacing w:before="111" w:line="192" w:lineRule="auto"/>
        <w:ind w:left="466"/>
        <w:outlineLvl w:val="9"/>
        <w:rPr>
          <w:rFonts w:ascii="宋体" w:hAnsi="宋体" w:eastAsia="宋体" w:cs="宋体"/>
          <w:color w:val="auto"/>
          <w:sz w:val="24"/>
          <w:szCs w:val="24"/>
          <w:highlight w:val="none"/>
        </w:rPr>
      </w:pPr>
      <w:bookmarkStart w:id="22" w:name="_Toc5654"/>
      <w:r>
        <w:rPr>
          <w:rFonts w:ascii="微软雅黑" w:hAnsi="微软雅黑" w:eastAsia="微软雅黑" w:cs="微软雅黑"/>
          <w:color w:val="auto"/>
          <w:spacing w:val="-8"/>
          <w:sz w:val="24"/>
          <w:szCs w:val="24"/>
          <w:highlight w:val="none"/>
        </w:rPr>
        <w:t>（ 六</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8"/>
          <w:sz w:val="24"/>
          <w:szCs w:val="24"/>
          <w:highlight w:val="none"/>
        </w:rPr>
        <w:t>）响应文件语言：</w:t>
      </w:r>
      <w:r>
        <w:rPr>
          <w:rFonts w:ascii="宋体" w:hAnsi="宋体" w:eastAsia="宋体" w:cs="宋体"/>
          <w:color w:val="auto"/>
          <w:spacing w:val="-8"/>
          <w:sz w:val="24"/>
          <w:szCs w:val="24"/>
          <w:highlight w:val="none"/>
        </w:rPr>
        <w:t>简体中文</w:t>
      </w:r>
      <w:bookmarkEnd w:id="22"/>
    </w:p>
    <w:p w14:paraId="097AFC25">
      <w:pPr>
        <w:spacing w:before="72" w:line="192" w:lineRule="auto"/>
        <w:ind w:left="466"/>
        <w:outlineLvl w:val="9"/>
        <w:rPr>
          <w:rFonts w:ascii="微软雅黑" w:hAnsi="微软雅黑" w:eastAsia="微软雅黑" w:cs="微软雅黑"/>
          <w:color w:val="auto"/>
          <w:sz w:val="24"/>
          <w:szCs w:val="24"/>
          <w:highlight w:val="none"/>
        </w:rPr>
      </w:pPr>
      <w:bookmarkStart w:id="23" w:name="_Toc4323"/>
      <w:r>
        <w:rPr>
          <w:rFonts w:ascii="微软雅黑" w:hAnsi="微软雅黑" w:eastAsia="微软雅黑" w:cs="微软雅黑"/>
          <w:color w:val="auto"/>
          <w:spacing w:val="-9"/>
          <w:sz w:val="24"/>
          <w:szCs w:val="24"/>
          <w:highlight w:val="none"/>
        </w:rPr>
        <w:t>（</w:t>
      </w:r>
      <w:r>
        <w:rPr>
          <w:rFonts w:ascii="微软雅黑" w:hAnsi="微软雅黑" w:eastAsia="微软雅黑" w:cs="微软雅黑"/>
          <w:color w:val="auto"/>
          <w:spacing w:val="-21"/>
          <w:sz w:val="24"/>
          <w:szCs w:val="24"/>
          <w:highlight w:val="none"/>
        </w:rPr>
        <w:t xml:space="preserve"> </w:t>
      </w:r>
      <w:r>
        <w:rPr>
          <w:rFonts w:ascii="微软雅黑" w:hAnsi="微软雅黑" w:eastAsia="微软雅黑" w:cs="微软雅黑"/>
          <w:color w:val="auto"/>
          <w:spacing w:val="-9"/>
          <w:sz w:val="24"/>
          <w:szCs w:val="24"/>
          <w:highlight w:val="none"/>
        </w:rPr>
        <w:t>七</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9"/>
          <w:sz w:val="24"/>
          <w:szCs w:val="24"/>
          <w:highlight w:val="none"/>
        </w:rPr>
        <w:t>）供应商参与人员</w:t>
      </w:r>
      <w:bookmarkEnd w:id="23"/>
    </w:p>
    <w:p w14:paraId="41CD5E5F">
      <w:pPr>
        <w:spacing w:before="73" w:line="263" w:lineRule="auto"/>
        <w:ind w:right="98" w:firstLine="498"/>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1.各个供应商参与询价的人员必须为法定代表人或具</w:t>
      </w:r>
      <w:r>
        <w:rPr>
          <w:rFonts w:ascii="宋体" w:hAnsi="宋体" w:eastAsia="宋体" w:cs="宋体"/>
          <w:color w:val="auto"/>
          <w:sz w:val="24"/>
          <w:szCs w:val="24"/>
          <w:highlight w:val="none"/>
        </w:rPr>
        <w:t xml:space="preserve">有法定代表人授权委托书的授权 </w:t>
      </w:r>
      <w:r>
        <w:rPr>
          <w:rFonts w:ascii="宋体" w:hAnsi="宋体" w:eastAsia="宋体" w:cs="宋体"/>
          <w:color w:val="auto"/>
          <w:spacing w:val="-1"/>
          <w:sz w:val="24"/>
          <w:szCs w:val="24"/>
          <w:highlight w:val="none"/>
        </w:rPr>
        <w:t>代表，除此之外，可再委派一名随从人员。</w:t>
      </w:r>
    </w:p>
    <w:p w14:paraId="4FA2492F">
      <w:pPr>
        <w:spacing w:before="114" w:line="278" w:lineRule="auto"/>
        <w:ind w:right="98" w:firstLine="4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2.参与询价的供应商代表若为法定代表人时，必须携带法定代表人有效期内的身份证 原件；若为授权代表，必须携带授权代表有效期内的身份证原件。随从人员必须携带响应</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供应商有效期内的介绍信。上述人员中随从人员未携带有效期内的介绍信，根据现场工作</w:t>
      </w:r>
    </w:p>
    <w:p w14:paraId="3B277AD7">
      <w:pPr>
        <w:spacing w:line="278" w:lineRule="auto"/>
        <w:outlineLvl w:val="9"/>
        <w:rPr>
          <w:rFonts w:ascii="宋体" w:hAnsi="宋体" w:eastAsia="宋体" w:cs="宋体"/>
          <w:color w:val="auto"/>
          <w:sz w:val="24"/>
          <w:szCs w:val="24"/>
          <w:highlight w:val="none"/>
        </w:rPr>
        <w:sectPr>
          <w:footerReference r:id="rId9" w:type="default"/>
          <w:pgSz w:w="11907" w:h="16840"/>
          <w:pgMar w:top="1323" w:right="1093" w:bottom="1221" w:left="1311" w:header="0" w:footer="853" w:gutter="0"/>
          <w:pgNumType w:fmt="decimal"/>
          <w:cols w:space="720" w:num="1"/>
        </w:sectPr>
      </w:pPr>
    </w:p>
    <w:p w14:paraId="4E7A2DCB">
      <w:pPr>
        <w:spacing w:before="48" w:line="307" w:lineRule="auto"/>
        <w:ind w:left="6" w:hanging="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人员安排到指定地点休息；法定代表人或授权代表未携带有效期内的身份证原件，无法核 </w:t>
      </w:r>
      <w:r>
        <w:rPr>
          <w:rFonts w:ascii="宋体" w:hAnsi="宋体" w:eastAsia="宋体" w:cs="宋体"/>
          <w:color w:val="auto"/>
          <w:spacing w:val="-2"/>
          <w:sz w:val="24"/>
          <w:szCs w:val="24"/>
          <w:highlight w:val="none"/>
        </w:rPr>
        <w:t>实身份，其参与询价活动无效。</w:t>
      </w:r>
    </w:p>
    <w:p w14:paraId="61013A36">
      <w:pPr>
        <w:spacing w:line="192" w:lineRule="auto"/>
        <w:ind w:left="467"/>
        <w:outlineLvl w:val="9"/>
        <w:rPr>
          <w:rFonts w:ascii="微软雅黑" w:hAnsi="微软雅黑" w:eastAsia="微软雅黑" w:cs="微软雅黑"/>
          <w:color w:val="auto"/>
          <w:sz w:val="24"/>
          <w:szCs w:val="24"/>
          <w:highlight w:val="none"/>
        </w:rPr>
      </w:pPr>
      <w:bookmarkStart w:id="24" w:name="_Toc20737"/>
      <w:r>
        <w:rPr>
          <w:rFonts w:ascii="微软雅黑" w:hAnsi="微软雅黑" w:eastAsia="微软雅黑" w:cs="微软雅黑"/>
          <w:color w:val="auto"/>
          <w:spacing w:val="-13"/>
          <w:sz w:val="24"/>
          <w:szCs w:val="24"/>
          <w:highlight w:val="none"/>
        </w:rPr>
        <w:t>（</w:t>
      </w:r>
      <w:r>
        <w:rPr>
          <w:rFonts w:ascii="微软雅黑" w:hAnsi="微软雅黑" w:eastAsia="微软雅黑" w:cs="微软雅黑"/>
          <w:color w:val="auto"/>
          <w:spacing w:val="-20"/>
          <w:sz w:val="24"/>
          <w:szCs w:val="24"/>
          <w:highlight w:val="none"/>
        </w:rPr>
        <w:t xml:space="preserve"> </w:t>
      </w:r>
      <w:r>
        <w:rPr>
          <w:rFonts w:ascii="微软雅黑" w:hAnsi="微软雅黑" w:eastAsia="微软雅黑" w:cs="微软雅黑"/>
          <w:color w:val="auto"/>
          <w:spacing w:val="-13"/>
          <w:sz w:val="24"/>
          <w:szCs w:val="24"/>
          <w:highlight w:val="none"/>
        </w:rPr>
        <w:t>八</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3"/>
          <w:sz w:val="24"/>
          <w:szCs w:val="24"/>
          <w:highlight w:val="none"/>
        </w:rPr>
        <w:t>）无效响应</w:t>
      </w:r>
      <w:bookmarkEnd w:id="24"/>
    </w:p>
    <w:p w14:paraId="4B85CF69">
      <w:pPr>
        <w:spacing w:before="72" w:line="219" w:lineRule="auto"/>
        <w:ind w:left="481"/>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供应商发生以下条款情况之一者，视为无效响应</w:t>
      </w:r>
      <w:r>
        <w:rPr>
          <w:rFonts w:ascii="宋体" w:hAnsi="宋体" w:eastAsia="宋体" w:cs="宋体"/>
          <w:color w:val="auto"/>
          <w:spacing w:val="-1"/>
          <w:sz w:val="24"/>
          <w:szCs w:val="24"/>
          <w:highlight w:val="none"/>
        </w:rPr>
        <w:t>，其响应文件将被拒绝：</w:t>
      </w:r>
    </w:p>
    <w:p w14:paraId="7CB04FB8">
      <w:pPr>
        <w:spacing w:before="113" w:line="219" w:lineRule="auto"/>
        <w:ind w:left="49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1.供应商不符合规定的基本资格条件或特定资格条件的或未通过符合性检查的；</w:t>
      </w:r>
    </w:p>
    <w:p w14:paraId="5655C2AC">
      <w:pPr>
        <w:spacing w:before="115" w:line="219" w:lineRule="auto"/>
        <w:ind w:left="484"/>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2.供应商的法定代表人或其授权代表未参加询价；</w:t>
      </w:r>
    </w:p>
    <w:p w14:paraId="6926650B">
      <w:pPr>
        <w:spacing w:before="116" w:line="219" w:lineRule="auto"/>
        <w:ind w:left="486"/>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3.供应商未按照询价通知书的要求缴纳保证金的；</w:t>
      </w:r>
    </w:p>
    <w:p w14:paraId="1D28B817">
      <w:pPr>
        <w:spacing w:before="114" w:line="219" w:lineRule="auto"/>
        <w:ind w:left="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4.供应商所提交的响应文件不按规定签字、盖章的；</w:t>
      </w:r>
    </w:p>
    <w:p w14:paraId="7F92212B">
      <w:pPr>
        <w:spacing w:before="117" w:line="263" w:lineRule="auto"/>
        <w:ind w:left="2" w:firstLine="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5.供应商的报价超过采购预算或者最高限价的（若有采购预算单价，则含采购预算单</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价）的；</w:t>
      </w:r>
    </w:p>
    <w:p w14:paraId="2C306F1D">
      <w:pPr>
        <w:spacing w:before="115" w:line="264" w:lineRule="auto"/>
        <w:ind w:left="21" w:firstLine="46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6.供应商响应文件内容有与国家现行法律法规相违背的内容，或附有采购人无法接受</w:t>
      </w:r>
      <w:r>
        <w:rPr>
          <w:rFonts w:ascii="宋体" w:hAnsi="宋体" w:eastAsia="宋体" w:cs="宋体"/>
          <w:color w:val="auto"/>
          <w:spacing w:val="2"/>
          <w:sz w:val="24"/>
          <w:szCs w:val="24"/>
          <w:highlight w:val="none"/>
        </w:rPr>
        <w:t xml:space="preserve"> </w:t>
      </w:r>
      <w:r>
        <w:rPr>
          <w:rFonts w:ascii="宋体" w:hAnsi="宋体" w:eastAsia="宋体" w:cs="宋体"/>
          <w:color w:val="auto"/>
          <w:spacing w:val="-6"/>
          <w:sz w:val="24"/>
          <w:szCs w:val="24"/>
          <w:highlight w:val="none"/>
        </w:rPr>
        <w:t>的条件的；</w:t>
      </w:r>
    </w:p>
    <w:p w14:paraId="6897A665">
      <w:pPr>
        <w:spacing w:before="114" w:line="263" w:lineRule="auto"/>
        <w:ind w:firstLine="487"/>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7.单位负责人为同一人或者存在直接控股、管理关系的不同供应商，不得再参加</w:t>
      </w:r>
      <w:r>
        <w:rPr>
          <w:rFonts w:ascii="宋体" w:hAnsi="宋体" w:eastAsia="宋体" w:cs="宋体"/>
          <w:color w:val="auto"/>
          <w:sz w:val="24"/>
          <w:szCs w:val="24"/>
          <w:highlight w:val="none"/>
        </w:rPr>
        <w:t xml:space="preserve">该采 </w:t>
      </w:r>
      <w:r>
        <w:rPr>
          <w:rFonts w:ascii="宋体" w:hAnsi="宋体" w:eastAsia="宋体" w:cs="宋体"/>
          <w:color w:val="auto"/>
          <w:spacing w:val="-1"/>
          <w:sz w:val="24"/>
          <w:szCs w:val="24"/>
          <w:highlight w:val="none"/>
        </w:rPr>
        <w:t>购项目的其他采购活动；</w:t>
      </w:r>
    </w:p>
    <w:p w14:paraId="6AB32C4B">
      <w:pPr>
        <w:spacing w:before="115" w:line="264" w:lineRule="auto"/>
        <w:ind w:left="3" w:firstLine="47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8.为采购项目提供整体设计、规范编制或者项目管理、监理、检测等服务的供应商再</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参加本项目的采购活动的；</w:t>
      </w:r>
      <w:bookmarkStart w:id="84" w:name="_GoBack"/>
      <w:bookmarkEnd w:id="84"/>
    </w:p>
    <w:p w14:paraId="5B1B45D2">
      <w:pPr>
        <w:spacing w:before="114" w:line="219" w:lineRule="auto"/>
        <w:ind w:left="4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9.供应商串通响应本项目的；</w:t>
      </w:r>
    </w:p>
    <w:p w14:paraId="73D3ABCC">
      <w:pPr>
        <w:spacing w:before="116" w:line="219" w:lineRule="auto"/>
        <w:ind w:left="49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10.供应商组成联合体响应的（拒绝联合体响</w:t>
      </w:r>
      <w:r>
        <w:rPr>
          <w:rFonts w:ascii="宋体" w:hAnsi="宋体" w:eastAsia="宋体" w:cs="宋体"/>
          <w:color w:val="auto"/>
          <w:spacing w:val="-2"/>
          <w:sz w:val="24"/>
          <w:szCs w:val="24"/>
          <w:highlight w:val="none"/>
        </w:rPr>
        <w:t>应时适用</w:t>
      </w:r>
      <w:r>
        <w:rPr>
          <w:rFonts w:ascii="宋体" w:hAnsi="宋体" w:eastAsia="宋体" w:cs="宋体"/>
          <w:color w:val="auto"/>
          <w:sz w:val="24"/>
          <w:szCs w:val="24"/>
          <w:highlight w:val="none"/>
        </w:rPr>
        <w:t>）；</w:t>
      </w:r>
    </w:p>
    <w:p w14:paraId="5D529EE3">
      <w:pPr>
        <w:spacing w:before="115" w:line="219" w:lineRule="auto"/>
        <w:ind w:left="49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11.法律、法规和询价通知书规定的其他</w:t>
      </w:r>
      <w:r>
        <w:rPr>
          <w:rFonts w:ascii="宋体" w:hAnsi="宋体" w:eastAsia="宋体" w:cs="宋体"/>
          <w:color w:val="auto"/>
          <w:spacing w:val="-2"/>
          <w:sz w:val="24"/>
          <w:szCs w:val="24"/>
          <w:highlight w:val="none"/>
        </w:rPr>
        <w:t>无效情形。</w:t>
      </w:r>
    </w:p>
    <w:p w14:paraId="1002132E">
      <w:pPr>
        <w:spacing w:before="113" w:line="192" w:lineRule="auto"/>
        <w:ind w:left="467"/>
        <w:outlineLvl w:val="9"/>
        <w:rPr>
          <w:rFonts w:ascii="微软雅黑" w:hAnsi="微软雅黑" w:eastAsia="微软雅黑" w:cs="微软雅黑"/>
          <w:color w:val="auto"/>
          <w:sz w:val="24"/>
          <w:szCs w:val="24"/>
          <w:highlight w:val="none"/>
        </w:rPr>
      </w:pPr>
      <w:bookmarkStart w:id="25" w:name="_Toc12555"/>
      <w:r>
        <w:rPr>
          <w:rFonts w:ascii="微软雅黑" w:hAnsi="微软雅黑" w:eastAsia="微软雅黑" w:cs="微软雅黑"/>
          <w:color w:val="auto"/>
          <w:sz w:val="24"/>
          <w:szCs w:val="24"/>
          <w:highlight w:val="none"/>
        </w:rPr>
        <w:t>（九）终止采购活动</w:t>
      </w:r>
      <w:bookmarkEnd w:id="25"/>
    </w:p>
    <w:p w14:paraId="62B06E7F">
      <w:pPr>
        <w:spacing w:before="74" w:line="307" w:lineRule="auto"/>
        <w:ind w:left="2" w:firstLine="49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出现下列情形之一的，采购人</w:t>
      </w:r>
      <w:r>
        <w:rPr>
          <w:rFonts w:ascii="宋体" w:hAnsi="宋体" w:eastAsia="宋体" w:cs="宋体"/>
          <w:color w:val="auto"/>
          <w:sz w:val="24"/>
          <w:szCs w:val="24"/>
          <w:highlight w:val="none"/>
        </w:rPr>
        <w:t xml:space="preserve">应当终止询价采购活动，发布项目终 </w:t>
      </w:r>
      <w:r>
        <w:rPr>
          <w:rFonts w:ascii="宋体" w:hAnsi="宋体" w:eastAsia="宋体" w:cs="宋体"/>
          <w:color w:val="auto"/>
          <w:spacing w:val="-1"/>
          <w:sz w:val="24"/>
          <w:szCs w:val="24"/>
          <w:highlight w:val="none"/>
        </w:rPr>
        <w:t>止公告并说明原因，重新开展采购活动：</w:t>
      </w:r>
    </w:p>
    <w:p w14:paraId="1151EADA">
      <w:pPr>
        <w:spacing w:before="1" w:line="218" w:lineRule="auto"/>
        <w:ind w:left="49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1.符合专业条件的供应商或者对询价通知书作实质响应的供应商不足三家的；</w:t>
      </w:r>
    </w:p>
    <w:p w14:paraId="43C5C24A">
      <w:pPr>
        <w:spacing w:before="116" w:line="219" w:lineRule="auto"/>
        <w:ind w:left="484"/>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2.供应商的报价均超过了采购预算，采购人不能支付的；</w:t>
      </w:r>
    </w:p>
    <w:p w14:paraId="0266DAC8">
      <w:pPr>
        <w:spacing w:before="117" w:line="219" w:lineRule="auto"/>
        <w:ind w:left="486"/>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3.出现影响采购公正的违法、违规行为的；</w:t>
      </w:r>
    </w:p>
    <w:p w14:paraId="172856D0">
      <w:pPr>
        <w:spacing w:before="112" w:line="219" w:lineRule="auto"/>
        <w:ind w:left="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4.因情况变化，不在符合规定的询价采购方式适用情形的。</w:t>
      </w:r>
    </w:p>
    <w:p w14:paraId="13A79F80">
      <w:pPr>
        <w:spacing w:before="118" w:line="219" w:lineRule="auto"/>
        <w:ind w:left="605"/>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终止采购活动后，除采购任务取消情形外，应当重新组织采购。</w:t>
      </w:r>
    </w:p>
    <w:p w14:paraId="31B6507C">
      <w:pPr>
        <w:spacing w:before="105" w:line="242" w:lineRule="auto"/>
        <w:ind w:left="500"/>
        <w:outlineLvl w:val="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四、询价程序及成交标准</w:t>
      </w:r>
    </w:p>
    <w:p w14:paraId="31BE6DFC">
      <w:pPr>
        <w:spacing w:before="93" w:line="228" w:lineRule="auto"/>
        <w:ind w:left="3" w:firstLine="290"/>
        <w:outlineLvl w:val="9"/>
        <w:rPr>
          <w:rFonts w:ascii="宋体" w:hAnsi="宋体" w:eastAsia="宋体" w:cs="宋体"/>
          <w:color w:val="auto"/>
          <w:sz w:val="24"/>
          <w:szCs w:val="24"/>
          <w:highlight w:val="none"/>
        </w:rPr>
      </w:pPr>
      <w:r>
        <w:rPr>
          <w:rFonts w:ascii="微软雅黑" w:hAnsi="微软雅黑" w:eastAsia="微软雅黑" w:cs="微软雅黑"/>
          <w:color w:val="auto"/>
          <w:spacing w:val="-15"/>
          <w:w w:val="96"/>
          <w:sz w:val="24"/>
          <w:szCs w:val="24"/>
          <w:highlight w:val="none"/>
        </w:rPr>
        <w:t>（一</w:t>
      </w:r>
      <w:r>
        <w:rPr>
          <w:rFonts w:ascii="微软雅黑" w:hAnsi="微软雅黑" w:eastAsia="微软雅黑" w:cs="微软雅黑"/>
          <w:color w:val="auto"/>
          <w:spacing w:val="-14"/>
          <w:w w:val="96"/>
          <w:sz w:val="24"/>
          <w:szCs w:val="24"/>
          <w:highlight w:val="none"/>
        </w:rPr>
        <w:t>）本项目询价按照询价通知书规定的时间和地点进行。</w:t>
      </w:r>
      <w:r>
        <w:rPr>
          <w:rFonts w:ascii="宋体" w:hAnsi="宋体" w:eastAsia="宋体" w:cs="宋体"/>
          <w:color w:val="auto"/>
          <w:spacing w:val="-14"/>
          <w:w w:val="96"/>
          <w:sz w:val="24"/>
          <w:szCs w:val="24"/>
          <w:highlight w:val="none"/>
        </w:rPr>
        <w:t>供应商须有法定代表人或其授权代</w:t>
      </w:r>
      <w:r>
        <w:rPr>
          <w:rFonts w:ascii="宋体" w:hAnsi="宋体" w:eastAsia="宋体" w:cs="宋体"/>
          <w:color w:val="auto"/>
          <w:spacing w:val="-12"/>
          <w:w w:val="96"/>
          <w:sz w:val="24"/>
          <w:szCs w:val="24"/>
          <w:highlight w:val="none"/>
        </w:rPr>
        <w:t>表</w:t>
      </w:r>
      <w:r>
        <w:rPr>
          <w:rFonts w:ascii="宋体" w:hAnsi="宋体" w:eastAsia="宋体" w:cs="宋体"/>
          <w:color w:val="auto"/>
          <w:spacing w:val="21"/>
          <w:sz w:val="24"/>
          <w:szCs w:val="24"/>
          <w:highlight w:val="none"/>
        </w:rPr>
        <w:t xml:space="preserve"> </w:t>
      </w:r>
      <w:r>
        <w:rPr>
          <w:rFonts w:ascii="宋体" w:hAnsi="宋体" w:eastAsia="宋体" w:cs="宋体"/>
          <w:color w:val="auto"/>
          <w:spacing w:val="-2"/>
          <w:sz w:val="24"/>
          <w:szCs w:val="24"/>
          <w:highlight w:val="none"/>
        </w:rPr>
        <w:t>参加并签到。</w:t>
      </w:r>
    </w:p>
    <w:p w14:paraId="2EA29948">
      <w:pPr>
        <w:spacing w:before="112" w:line="192" w:lineRule="auto"/>
        <w:ind w:left="294"/>
        <w:outlineLvl w:val="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2"/>
          <w:w w:val="91"/>
          <w:sz w:val="24"/>
          <w:szCs w:val="24"/>
          <w:highlight w:val="none"/>
        </w:rPr>
        <w:t>（二）询价小组由评审成员</w:t>
      </w:r>
      <w:r>
        <w:rPr>
          <w:rFonts w:hint="eastAsia" w:ascii="微软雅黑" w:hAnsi="微软雅黑" w:eastAsia="微软雅黑" w:cs="微软雅黑"/>
          <w:color w:val="auto"/>
          <w:spacing w:val="-12"/>
          <w:w w:val="91"/>
          <w:sz w:val="24"/>
          <w:szCs w:val="24"/>
          <w:highlight w:val="none"/>
          <w:lang w:val="en-US" w:eastAsia="zh-CN"/>
        </w:rPr>
        <w:t xml:space="preserve"> </w:t>
      </w:r>
      <w:r>
        <w:rPr>
          <w:rFonts w:ascii="微软雅黑" w:hAnsi="微软雅黑" w:eastAsia="微软雅黑" w:cs="微软雅黑"/>
          <w:color w:val="auto"/>
          <w:spacing w:val="-12"/>
          <w:w w:val="91"/>
          <w:sz w:val="24"/>
          <w:szCs w:val="24"/>
          <w:highlight w:val="none"/>
        </w:rPr>
        <w:t>3</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2"/>
          <w:w w:val="91"/>
          <w:sz w:val="24"/>
          <w:szCs w:val="24"/>
          <w:highlight w:val="none"/>
        </w:rPr>
        <w:t>人组成。</w:t>
      </w:r>
    </w:p>
    <w:p w14:paraId="29531D01">
      <w:pPr>
        <w:spacing w:before="71" w:line="192" w:lineRule="auto"/>
        <w:ind w:left="294"/>
        <w:outlineLvl w:val="9"/>
        <w:rPr>
          <w:rFonts w:ascii="微软雅黑" w:hAnsi="微软雅黑" w:eastAsia="微软雅黑" w:cs="微软雅黑"/>
          <w:color w:val="auto"/>
          <w:sz w:val="24"/>
          <w:szCs w:val="24"/>
          <w:highlight w:val="none"/>
        </w:rPr>
      </w:pPr>
      <w:bookmarkStart w:id="26" w:name="_Toc17837"/>
      <w:r>
        <w:rPr>
          <w:rFonts w:ascii="微软雅黑" w:hAnsi="微软雅黑" w:eastAsia="微软雅黑" w:cs="微软雅黑"/>
          <w:color w:val="auto"/>
          <w:spacing w:val="-11"/>
          <w:w w:val="92"/>
          <w:sz w:val="24"/>
          <w:szCs w:val="24"/>
          <w:highlight w:val="none"/>
        </w:rPr>
        <w:t>（三）资格性符合性检查</w:t>
      </w:r>
      <w:bookmarkEnd w:id="26"/>
    </w:p>
    <w:p w14:paraId="133F9A27">
      <w:pPr>
        <w:spacing w:before="71" w:line="310" w:lineRule="auto"/>
        <w:ind w:left="3" w:firstLine="495"/>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1.资格性检查。依据法律法规和询价通知书的规定，</w:t>
      </w:r>
      <w:r>
        <w:rPr>
          <w:rFonts w:ascii="宋体" w:hAnsi="宋体" w:eastAsia="宋体" w:cs="宋体"/>
          <w:color w:val="auto"/>
          <w:sz w:val="24"/>
          <w:szCs w:val="24"/>
          <w:highlight w:val="none"/>
        </w:rPr>
        <w:t>对响应文件中的资格证明、保证 金等进行审查，以确定供应商是否具备询价资</w:t>
      </w:r>
      <w:r>
        <w:rPr>
          <w:rFonts w:ascii="宋体" w:hAnsi="宋体" w:eastAsia="宋体" w:cs="宋体"/>
          <w:color w:val="auto"/>
          <w:spacing w:val="-1"/>
          <w:sz w:val="24"/>
          <w:szCs w:val="24"/>
          <w:highlight w:val="none"/>
        </w:rPr>
        <w:t>格。资格性检查资料表如下：</w:t>
      </w:r>
    </w:p>
    <w:p w14:paraId="1615044A">
      <w:pPr>
        <w:spacing w:line="310" w:lineRule="auto"/>
        <w:outlineLvl w:val="9"/>
        <w:rPr>
          <w:rFonts w:ascii="宋体" w:hAnsi="宋体" w:eastAsia="宋体" w:cs="宋体"/>
          <w:color w:val="auto"/>
          <w:sz w:val="24"/>
          <w:szCs w:val="24"/>
          <w:highlight w:val="none"/>
        </w:rPr>
        <w:sectPr>
          <w:footerReference r:id="rId10" w:type="default"/>
          <w:pgSz w:w="11907" w:h="16840"/>
          <w:pgMar w:top="1323" w:right="1190" w:bottom="1127" w:left="1310" w:header="0" w:footer="878" w:gutter="0"/>
          <w:pgNumType w:fmt="decimal"/>
          <w:cols w:space="720" w:num="1"/>
          <w:titlePg/>
        </w:sectPr>
      </w:pPr>
    </w:p>
    <w:tbl>
      <w:tblPr>
        <w:tblStyle w:val="12"/>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3CAA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17F3C0A0">
            <w:pPr>
              <w:pStyle w:val="13"/>
              <w:spacing w:before="91" w:line="230" w:lineRule="auto"/>
              <w:ind w:left="179"/>
              <w:outlineLvl w:val="9"/>
              <w:rPr>
                <w:color w:val="auto"/>
                <w:highlight w:val="none"/>
              </w:rPr>
            </w:pPr>
            <w:r>
              <w:rPr>
                <w:b/>
                <w:bCs/>
                <w:color w:val="auto"/>
                <w:spacing w:val="4"/>
                <w:highlight w:val="none"/>
              </w:rPr>
              <w:t>序号</w:t>
            </w:r>
          </w:p>
        </w:tc>
        <w:tc>
          <w:tcPr>
            <w:tcW w:w="5157" w:type="dxa"/>
            <w:gridSpan w:val="2"/>
            <w:vAlign w:val="top"/>
          </w:tcPr>
          <w:p w14:paraId="01D3C17F">
            <w:pPr>
              <w:pStyle w:val="13"/>
              <w:spacing w:before="92" w:line="228" w:lineRule="auto"/>
              <w:ind w:left="2161"/>
              <w:outlineLvl w:val="9"/>
              <w:rPr>
                <w:color w:val="auto"/>
                <w:highlight w:val="none"/>
              </w:rPr>
            </w:pPr>
            <w:r>
              <w:rPr>
                <w:b/>
                <w:bCs/>
                <w:color w:val="auto"/>
                <w:spacing w:val="6"/>
                <w:highlight w:val="none"/>
              </w:rPr>
              <w:t>检查因素</w:t>
            </w:r>
          </w:p>
        </w:tc>
        <w:tc>
          <w:tcPr>
            <w:tcW w:w="3586" w:type="dxa"/>
            <w:vAlign w:val="top"/>
          </w:tcPr>
          <w:p w14:paraId="4B643D2B">
            <w:pPr>
              <w:pStyle w:val="13"/>
              <w:spacing w:before="92" w:line="228" w:lineRule="auto"/>
              <w:ind w:left="1377"/>
              <w:outlineLvl w:val="9"/>
              <w:rPr>
                <w:color w:val="auto"/>
                <w:highlight w:val="none"/>
              </w:rPr>
            </w:pPr>
            <w:r>
              <w:rPr>
                <w:b/>
                <w:bCs/>
                <w:color w:val="auto"/>
                <w:spacing w:val="6"/>
                <w:highlight w:val="none"/>
              </w:rPr>
              <w:t>检查内容</w:t>
            </w:r>
          </w:p>
        </w:tc>
      </w:tr>
      <w:tr w14:paraId="3785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2912A498">
            <w:pPr>
              <w:spacing w:line="249" w:lineRule="auto"/>
              <w:outlineLvl w:val="9"/>
              <w:rPr>
                <w:rFonts w:ascii="Arial"/>
                <w:color w:val="auto"/>
                <w:sz w:val="21"/>
                <w:highlight w:val="none"/>
              </w:rPr>
            </w:pPr>
          </w:p>
          <w:p w14:paraId="2A934D8B">
            <w:pPr>
              <w:spacing w:line="249" w:lineRule="auto"/>
              <w:outlineLvl w:val="9"/>
              <w:rPr>
                <w:rFonts w:ascii="Arial"/>
                <w:color w:val="auto"/>
                <w:sz w:val="21"/>
                <w:highlight w:val="none"/>
              </w:rPr>
            </w:pPr>
          </w:p>
          <w:p w14:paraId="1CB548E7">
            <w:pPr>
              <w:spacing w:line="250" w:lineRule="auto"/>
              <w:outlineLvl w:val="9"/>
              <w:rPr>
                <w:rFonts w:ascii="Arial"/>
                <w:color w:val="auto"/>
                <w:sz w:val="21"/>
                <w:highlight w:val="none"/>
              </w:rPr>
            </w:pPr>
          </w:p>
          <w:p w14:paraId="7C7E0C10">
            <w:pPr>
              <w:spacing w:line="250" w:lineRule="auto"/>
              <w:outlineLvl w:val="9"/>
              <w:rPr>
                <w:rFonts w:ascii="Arial"/>
                <w:color w:val="auto"/>
                <w:sz w:val="21"/>
                <w:highlight w:val="none"/>
              </w:rPr>
            </w:pPr>
          </w:p>
          <w:p w14:paraId="5352D4D6">
            <w:pPr>
              <w:spacing w:line="250" w:lineRule="auto"/>
              <w:outlineLvl w:val="9"/>
              <w:rPr>
                <w:rFonts w:ascii="Arial"/>
                <w:color w:val="auto"/>
                <w:sz w:val="21"/>
                <w:highlight w:val="none"/>
              </w:rPr>
            </w:pPr>
          </w:p>
          <w:p w14:paraId="31CCCC44">
            <w:pPr>
              <w:spacing w:line="250" w:lineRule="auto"/>
              <w:outlineLvl w:val="9"/>
              <w:rPr>
                <w:rFonts w:ascii="Arial"/>
                <w:color w:val="auto"/>
                <w:sz w:val="21"/>
                <w:highlight w:val="none"/>
              </w:rPr>
            </w:pPr>
          </w:p>
          <w:p w14:paraId="62035C22">
            <w:pPr>
              <w:spacing w:line="250" w:lineRule="auto"/>
              <w:outlineLvl w:val="9"/>
              <w:rPr>
                <w:rFonts w:ascii="Arial"/>
                <w:color w:val="auto"/>
                <w:sz w:val="21"/>
                <w:highlight w:val="none"/>
              </w:rPr>
            </w:pPr>
          </w:p>
          <w:p w14:paraId="742491A7">
            <w:pPr>
              <w:spacing w:line="250" w:lineRule="auto"/>
              <w:outlineLvl w:val="9"/>
              <w:rPr>
                <w:rFonts w:ascii="Arial"/>
                <w:color w:val="auto"/>
                <w:sz w:val="21"/>
                <w:highlight w:val="none"/>
              </w:rPr>
            </w:pPr>
          </w:p>
          <w:p w14:paraId="35E59C8F">
            <w:pPr>
              <w:pStyle w:val="13"/>
              <w:spacing w:before="65" w:line="271" w:lineRule="exact"/>
              <w:ind w:left="353"/>
              <w:outlineLvl w:val="9"/>
              <w:rPr>
                <w:color w:val="auto"/>
                <w:highlight w:val="none"/>
              </w:rPr>
            </w:pPr>
            <w:r>
              <w:rPr>
                <w:color w:val="auto"/>
                <w:position w:val="1"/>
                <w:highlight w:val="none"/>
              </w:rPr>
              <w:t>1</w:t>
            </w:r>
          </w:p>
        </w:tc>
        <w:tc>
          <w:tcPr>
            <w:tcW w:w="494" w:type="dxa"/>
            <w:vMerge w:val="restart"/>
            <w:tcBorders>
              <w:bottom w:val="nil"/>
            </w:tcBorders>
            <w:textDirection w:val="tbRlV"/>
            <w:vAlign w:val="top"/>
          </w:tcPr>
          <w:p w14:paraId="3F06B975">
            <w:pPr>
              <w:pStyle w:val="13"/>
              <w:spacing w:before="142" w:line="216" w:lineRule="auto"/>
              <w:ind w:left="1115"/>
              <w:outlineLvl w:val="9"/>
              <w:rPr>
                <w:color w:val="auto"/>
                <w:highlight w:val="none"/>
              </w:rPr>
            </w:pPr>
            <w:r>
              <w:rPr>
                <w:color w:val="auto"/>
                <w:spacing w:val="36"/>
                <w:highlight w:val="none"/>
              </w:rPr>
              <w:t>供应商基本资格条件</w:t>
            </w:r>
          </w:p>
        </w:tc>
        <w:tc>
          <w:tcPr>
            <w:tcW w:w="4663" w:type="dxa"/>
            <w:vAlign w:val="top"/>
          </w:tcPr>
          <w:p w14:paraId="76C2A906">
            <w:pPr>
              <w:spacing w:line="300" w:lineRule="auto"/>
              <w:outlineLvl w:val="9"/>
              <w:rPr>
                <w:rFonts w:ascii="Arial"/>
                <w:color w:val="auto"/>
                <w:sz w:val="21"/>
                <w:highlight w:val="none"/>
              </w:rPr>
            </w:pPr>
          </w:p>
          <w:p w14:paraId="622A61FC">
            <w:pPr>
              <w:spacing w:line="301" w:lineRule="auto"/>
              <w:outlineLvl w:val="9"/>
              <w:rPr>
                <w:rFonts w:ascii="Arial"/>
                <w:color w:val="auto"/>
                <w:sz w:val="21"/>
                <w:highlight w:val="none"/>
              </w:rPr>
            </w:pPr>
          </w:p>
          <w:p w14:paraId="14507AAA">
            <w:pPr>
              <w:pStyle w:val="13"/>
              <w:spacing w:before="65" w:line="228" w:lineRule="auto"/>
              <w:ind w:left="122"/>
              <w:outlineLvl w:val="9"/>
              <w:rPr>
                <w:color w:val="auto"/>
                <w:highlight w:val="none"/>
              </w:rPr>
            </w:pPr>
            <w:r>
              <w:rPr>
                <w:color w:val="auto"/>
                <w:spacing w:val="8"/>
                <w:highlight w:val="none"/>
              </w:rPr>
              <w:t>（1）具有独立承担民事责任的能力</w:t>
            </w:r>
          </w:p>
        </w:tc>
        <w:tc>
          <w:tcPr>
            <w:tcW w:w="3586" w:type="dxa"/>
            <w:vAlign w:val="top"/>
          </w:tcPr>
          <w:p w14:paraId="3A7072C7">
            <w:pPr>
              <w:pStyle w:val="13"/>
              <w:spacing w:before="67" w:line="222" w:lineRule="auto"/>
              <w:ind w:left="115" w:right="109" w:hanging="1"/>
              <w:outlineLvl w:val="9"/>
              <w:rPr>
                <w:color w:val="auto"/>
                <w:highlight w:val="none"/>
              </w:rPr>
            </w:pPr>
            <w:r>
              <w:rPr>
                <w:color w:val="auto"/>
                <w:spacing w:val="9"/>
                <w:highlight w:val="none"/>
              </w:rPr>
              <w:t>供应商法人营业执照（副本）或事业</w:t>
            </w:r>
            <w:r>
              <w:rPr>
                <w:color w:val="auto"/>
                <w:spacing w:val="11"/>
                <w:highlight w:val="none"/>
              </w:rPr>
              <w:t xml:space="preserve"> </w:t>
            </w:r>
            <w:r>
              <w:rPr>
                <w:color w:val="auto"/>
                <w:spacing w:val="9"/>
                <w:highlight w:val="none"/>
              </w:rPr>
              <w:t>单位法人证书（副本）或个体工商户</w:t>
            </w:r>
            <w:r>
              <w:rPr>
                <w:color w:val="auto"/>
                <w:spacing w:val="10"/>
                <w:highlight w:val="none"/>
              </w:rPr>
              <w:t xml:space="preserve"> </w:t>
            </w:r>
            <w:r>
              <w:rPr>
                <w:color w:val="auto"/>
                <w:spacing w:val="9"/>
                <w:highlight w:val="none"/>
              </w:rPr>
              <w:t>营业执照或有效的自然人身份证明、</w:t>
            </w:r>
            <w:r>
              <w:rPr>
                <w:color w:val="auto"/>
                <w:spacing w:val="10"/>
                <w:highlight w:val="none"/>
              </w:rPr>
              <w:t xml:space="preserve"> </w:t>
            </w:r>
            <w:r>
              <w:rPr>
                <w:color w:val="auto"/>
                <w:spacing w:val="1"/>
                <w:highlight w:val="none"/>
              </w:rPr>
              <w:t>组织机构代码证（注</w:t>
            </w:r>
            <w:r>
              <w:rPr>
                <w:rFonts w:hint="default" w:ascii="Calibri" w:hAnsi="Calibri" w:cs="Calibri"/>
                <w:color w:val="auto"/>
                <w:spacing w:val="1"/>
                <w:highlight w:val="none"/>
              </w:rPr>
              <w:t>①</w:t>
            </w:r>
            <w:r>
              <w:rPr>
                <w:color w:val="auto"/>
                <w:spacing w:val="-9"/>
                <w:highlight w:val="none"/>
              </w:rPr>
              <w:t>）；</w:t>
            </w:r>
          </w:p>
          <w:p w14:paraId="4C59E920">
            <w:pPr>
              <w:pStyle w:val="13"/>
              <w:spacing w:before="1" w:line="224" w:lineRule="auto"/>
              <w:ind w:left="113" w:right="109"/>
              <w:outlineLvl w:val="9"/>
              <w:rPr>
                <w:color w:val="auto"/>
                <w:highlight w:val="none"/>
              </w:rPr>
            </w:pPr>
            <w:r>
              <w:rPr>
                <w:color w:val="auto"/>
                <w:spacing w:val="9"/>
                <w:highlight w:val="none"/>
              </w:rPr>
              <w:t>供应商法定代表人身份证明和法定代</w:t>
            </w:r>
            <w:r>
              <w:rPr>
                <w:color w:val="auto"/>
                <w:spacing w:val="11"/>
                <w:highlight w:val="none"/>
              </w:rPr>
              <w:t xml:space="preserve"> </w:t>
            </w:r>
            <w:r>
              <w:rPr>
                <w:color w:val="auto"/>
                <w:spacing w:val="8"/>
                <w:highlight w:val="none"/>
              </w:rPr>
              <w:t>表人授权代表委托书。</w:t>
            </w:r>
          </w:p>
        </w:tc>
      </w:tr>
      <w:tr w14:paraId="0966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05CE569A">
            <w:pPr>
              <w:outlineLvl w:val="9"/>
              <w:rPr>
                <w:rFonts w:ascii="Arial"/>
                <w:color w:val="auto"/>
                <w:sz w:val="21"/>
                <w:highlight w:val="none"/>
              </w:rPr>
            </w:pPr>
          </w:p>
        </w:tc>
        <w:tc>
          <w:tcPr>
            <w:tcW w:w="494" w:type="dxa"/>
            <w:vMerge w:val="continue"/>
            <w:tcBorders>
              <w:top w:val="nil"/>
              <w:bottom w:val="nil"/>
            </w:tcBorders>
            <w:textDirection w:val="tbRlV"/>
            <w:vAlign w:val="top"/>
          </w:tcPr>
          <w:p w14:paraId="06F6B85F">
            <w:pPr>
              <w:outlineLvl w:val="9"/>
              <w:rPr>
                <w:rFonts w:ascii="Arial"/>
                <w:color w:val="auto"/>
                <w:sz w:val="21"/>
                <w:highlight w:val="none"/>
              </w:rPr>
            </w:pPr>
          </w:p>
        </w:tc>
        <w:tc>
          <w:tcPr>
            <w:tcW w:w="4663" w:type="dxa"/>
            <w:vAlign w:val="top"/>
          </w:tcPr>
          <w:p w14:paraId="27E1C24D">
            <w:pPr>
              <w:pStyle w:val="13"/>
              <w:spacing w:before="197" w:line="228" w:lineRule="auto"/>
              <w:ind w:left="122"/>
              <w:outlineLvl w:val="9"/>
              <w:rPr>
                <w:color w:val="auto"/>
                <w:highlight w:val="none"/>
              </w:rPr>
            </w:pPr>
            <w:r>
              <w:rPr>
                <w:color w:val="auto"/>
                <w:spacing w:val="6"/>
                <w:highlight w:val="none"/>
              </w:rPr>
              <w:t>（2）具有良好的商业信誉和健全的财务会计</w:t>
            </w:r>
            <w:r>
              <w:rPr>
                <w:color w:val="auto"/>
                <w:spacing w:val="5"/>
                <w:highlight w:val="none"/>
              </w:rPr>
              <w:t>制度</w:t>
            </w:r>
          </w:p>
        </w:tc>
        <w:tc>
          <w:tcPr>
            <w:tcW w:w="3586" w:type="dxa"/>
            <w:vAlign w:val="top"/>
          </w:tcPr>
          <w:p w14:paraId="743E1AA9">
            <w:pPr>
              <w:pStyle w:val="13"/>
              <w:spacing w:before="77" w:line="225" w:lineRule="auto"/>
              <w:ind w:left="114" w:right="109" w:firstLine="2"/>
              <w:outlineLvl w:val="9"/>
              <w:rPr>
                <w:color w:val="auto"/>
                <w:highlight w:val="none"/>
              </w:rPr>
            </w:pPr>
            <w:r>
              <w:rPr>
                <w:color w:val="auto"/>
                <w:spacing w:val="9"/>
                <w:highlight w:val="none"/>
              </w:rPr>
              <w:t xml:space="preserve">投标人提供基本资格条件承诺函（见 </w:t>
            </w:r>
            <w:r>
              <w:rPr>
                <w:color w:val="auto"/>
                <w:spacing w:val="5"/>
                <w:highlight w:val="none"/>
              </w:rPr>
              <w:t>格式文件）</w:t>
            </w:r>
          </w:p>
        </w:tc>
      </w:tr>
      <w:tr w14:paraId="07A0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045EC864">
            <w:pPr>
              <w:outlineLvl w:val="9"/>
              <w:rPr>
                <w:rFonts w:ascii="Arial"/>
                <w:color w:val="auto"/>
                <w:sz w:val="21"/>
                <w:highlight w:val="none"/>
              </w:rPr>
            </w:pPr>
          </w:p>
        </w:tc>
        <w:tc>
          <w:tcPr>
            <w:tcW w:w="494" w:type="dxa"/>
            <w:vMerge w:val="continue"/>
            <w:tcBorders>
              <w:top w:val="nil"/>
              <w:bottom w:val="nil"/>
            </w:tcBorders>
            <w:textDirection w:val="tbRlV"/>
            <w:vAlign w:val="top"/>
          </w:tcPr>
          <w:p w14:paraId="49E6884E">
            <w:pPr>
              <w:outlineLvl w:val="9"/>
              <w:rPr>
                <w:rFonts w:ascii="Arial"/>
                <w:color w:val="auto"/>
                <w:sz w:val="21"/>
                <w:highlight w:val="none"/>
              </w:rPr>
            </w:pPr>
          </w:p>
        </w:tc>
        <w:tc>
          <w:tcPr>
            <w:tcW w:w="4663" w:type="dxa"/>
            <w:vAlign w:val="top"/>
          </w:tcPr>
          <w:p w14:paraId="6E8275E6">
            <w:pPr>
              <w:pStyle w:val="13"/>
              <w:spacing w:before="207" w:line="228" w:lineRule="auto"/>
              <w:ind w:left="122"/>
              <w:outlineLvl w:val="9"/>
              <w:rPr>
                <w:color w:val="auto"/>
                <w:highlight w:val="none"/>
              </w:rPr>
            </w:pPr>
            <w:r>
              <w:rPr>
                <w:color w:val="auto"/>
                <w:spacing w:val="6"/>
                <w:highlight w:val="none"/>
              </w:rPr>
              <w:t>（3）具有履行合同所必需的设备和专业技术</w:t>
            </w:r>
            <w:r>
              <w:rPr>
                <w:color w:val="auto"/>
                <w:spacing w:val="5"/>
                <w:highlight w:val="none"/>
              </w:rPr>
              <w:t>能力</w:t>
            </w:r>
          </w:p>
        </w:tc>
        <w:tc>
          <w:tcPr>
            <w:tcW w:w="3586" w:type="dxa"/>
            <w:vAlign w:val="top"/>
          </w:tcPr>
          <w:p w14:paraId="0ADE47FF">
            <w:pPr>
              <w:pStyle w:val="13"/>
              <w:spacing w:before="87" w:line="225" w:lineRule="auto"/>
              <w:ind w:left="114" w:right="109" w:firstLine="2"/>
              <w:outlineLvl w:val="9"/>
              <w:rPr>
                <w:color w:val="auto"/>
                <w:highlight w:val="none"/>
              </w:rPr>
            </w:pPr>
            <w:r>
              <w:rPr>
                <w:color w:val="auto"/>
                <w:spacing w:val="9"/>
                <w:highlight w:val="none"/>
              </w:rPr>
              <w:t xml:space="preserve">投标人提供基本资格条件承诺函（见 </w:t>
            </w:r>
            <w:r>
              <w:rPr>
                <w:color w:val="auto"/>
                <w:spacing w:val="5"/>
                <w:highlight w:val="none"/>
              </w:rPr>
              <w:t>格式文件）</w:t>
            </w:r>
          </w:p>
        </w:tc>
      </w:tr>
      <w:tr w14:paraId="3185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51BB089B">
            <w:pPr>
              <w:outlineLvl w:val="9"/>
              <w:rPr>
                <w:rFonts w:ascii="Arial"/>
                <w:color w:val="auto"/>
                <w:sz w:val="21"/>
                <w:highlight w:val="none"/>
              </w:rPr>
            </w:pPr>
          </w:p>
        </w:tc>
        <w:tc>
          <w:tcPr>
            <w:tcW w:w="494" w:type="dxa"/>
            <w:vMerge w:val="continue"/>
            <w:tcBorders>
              <w:top w:val="nil"/>
              <w:bottom w:val="nil"/>
            </w:tcBorders>
            <w:textDirection w:val="tbRlV"/>
            <w:vAlign w:val="top"/>
          </w:tcPr>
          <w:p w14:paraId="5B6C363F">
            <w:pPr>
              <w:outlineLvl w:val="9"/>
              <w:rPr>
                <w:rFonts w:ascii="Arial"/>
                <w:color w:val="auto"/>
                <w:sz w:val="21"/>
                <w:highlight w:val="none"/>
              </w:rPr>
            </w:pPr>
          </w:p>
        </w:tc>
        <w:tc>
          <w:tcPr>
            <w:tcW w:w="4663" w:type="dxa"/>
            <w:vAlign w:val="top"/>
          </w:tcPr>
          <w:p w14:paraId="449B028F">
            <w:pPr>
              <w:pStyle w:val="13"/>
              <w:spacing w:before="78" w:line="216" w:lineRule="auto"/>
              <w:ind w:left="112" w:right="106" w:firstLine="9"/>
              <w:outlineLvl w:val="9"/>
              <w:rPr>
                <w:color w:val="auto"/>
                <w:highlight w:val="none"/>
              </w:rPr>
            </w:pPr>
            <w:r>
              <w:rPr>
                <w:color w:val="auto"/>
                <w:spacing w:val="5"/>
                <w:highlight w:val="none"/>
              </w:rPr>
              <w:t>（4）参加采购活动前三年内，在经营活动中没有</w:t>
            </w:r>
            <w:r>
              <w:rPr>
                <w:color w:val="auto"/>
                <w:spacing w:val="18"/>
                <w:highlight w:val="none"/>
              </w:rPr>
              <w:t xml:space="preserve"> </w:t>
            </w:r>
            <w:r>
              <w:rPr>
                <w:color w:val="auto"/>
                <w:spacing w:val="7"/>
                <w:highlight w:val="none"/>
              </w:rPr>
              <w:t>重大违法记录（注</w:t>
            </w:r>
            <w:r>
              <w:rPr>
                <w:rFonts w:hint="eastAsia"/>
                <w:color w:val="auto"/>
                <w:spacing w:val="7"/>
                <w:highlight w:val="none"/>
                <w:lang w:val="en-US" w:eastAsia="zh-CN"/>
              </w:rPr>
              <w:t xml:space="preserve"> </w:t>
            </w:r>
            <w:r>
              <w:rPr>
                <w:rFonts w:hint="default" w:ascii="Calibri" w:hAnsi="Calibri" w:cs="Calibri"/>
                <w:color w:val="auto"/>
                <w:spacing w:val="7"/>
                <w:highlight w:val="none"/>
                <w:lang w:val="en-US" w:eastAsia="zh-CN"/>
              </w:rPr>
              <w:t>②</w:t>
            </w:r>
            <w:r>
              <w:rPr>
                <w:color w:val="auto"/>
                <w:spacing w:val="7"/>
                <w:highlight w:val="none"/>
              </w:rPr>
              <w:t>）</w:t>
            </w:r>
          </w:p>
        </w:tc>
        <w:tc>
          <w:tcPr>
            <w:tcW w:w="3586" w:type="dxa"/>
            <w:vAlign w:val="top"/>
          </w:tcPr>
          <w:p w14:paraId="7CFCDEA0">
            <w:pPr>
              <w:pStyle w:val="13"/>
              <w:spacing w:before="77" w:line="225" w:lineRule="auto"/>
              <w:ind w:left="114" w:right="109" w:firstLine="2"/>
              <w:outlineLvl w:val="9"/>
              <w:rPr>
                <w:color w:val="auto"/>
                <w:highlight w:val="none"/>
              </w:rPr>
            </w:pPr>
            <w:r>
              <w:rPr>
                <w:color w:val="auto"/>
                <w:spacing w:val="9"/>
                <w:highlight w:val="none"/>
              </w:rPr>
              <w:t xml:space="preserve">投标人提供基本资格条件承诺函（见 </w:t>
            </w:r>
            <w:r>
              <w:rPr>
                <w:color w:val="auto"/>
                <w:spacing w:val="5"/>
                <w:highlight w:val="none"/>
              </w:rPr>
              <w:t>格式文件）</w:t>
            </w:r>
          </w:p>
        </w:tc>
      </w:tr>
      <w:tr w14:paraId="34F3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7FCB44A4">
            <w:pPr>
              <w:outlineLvl w:val="9"/>
              <w:rPr>
                <w:rFonts w:ascii="Arial"/>
                <w:color w:val="auto"/>
                <w:sz w:val="21"/>
                <w:highlight w:val="none"/>
              </w:rPr>
            </w:pPr>
          </w:p>
        </w:tc>
        <w:tc>
          <w:tcPr>
            <w:tcW w:w="494" w:type="dxa"/>
            <w:vMerge w:val="continue"/>
            <w:tcBorders>
              <w:top w:val="nil"/>
              <w:bottom w:val="nil"/>
            </w:tcBorders>
            <w:textDirection w:val="tbRlV"/>
            <w:vAlign w:val="top"/>
          </w:tcPr>
          <w:p w14:paraId="48396731">
            <w:pPr>
              <w:outlineLvl w:val="9"/>
              <w:rPr>
                <w:rFonts w:ascii="Arial"/>
                <w:color w:val="auto"/>
                <w:sz w:val="21"/>
                <w:highlight w:val="none"/>
              </w:rPr>
            </w:pPr>
          </w:p>
        </w:tc>
        <w:tc>
          <w:tcPr>
            <w:tcW w:w="4663" w:type="dxa"/>
            <w:vAlign w:val="top"/>
          </w:tcPr>
          <w:p w14:paraId="0683AB29">
            <w:pPr>
              <w:pStyle w:val="13"/>
              <w:spacing w:before="50" w:line="228" w:lineRule="auto"/>
              <w:ind w:left="122"/>
              <w:outlineLvl w:val="9"/>
              <w:rPr>
                <w:color w:val="auto"/>
                <w:highlight w:val="none"/>
              </w:rPr>
            </w:pPr>
            <w:r>
              <w:rPr>
                <w:color w:val="auto"/>
                <w:spacing w:val="8"/>
                <w:highlight w:val="none"/>
              </w:rPr>
              <w:t>（5）法律、行政法规规定的其他条件</w:t>
            </w:r>
          </w:p>
        </w:tc>
        <w:tc>
          <w:tcPr>
            <w:tcW w:w="3586" w:type="dxa"/>
            <w:vAlign w:val="top"/>
          </w:tcPr>
          <w:p w14:paraId="59D9C114">
            <w:pPr>
              <w:outlineLvl w:val="9"/>
              <w:rPr>
                <w:rFonts w:ascii="Arial"/>
                <w:color w:val="auto"/>
                <w:sz w:val="21"/>
                <w:highlight w:val="none"/>
              </w:rPr>
            </w:pPr>
          </w:p>
        </w:tc>
      </w:tr>
      <w:tr w14:paraId="762F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758B2A60">
            <w:pPr>
              <w:outlineLvl w:val="9"/>
              <w:rPr>
                <w:rFonts w:ascii="Arial"/>
                <w:color w:val="auto"/>
                <w:sz w:val="21"/>
                <w:highlight w:val="none"/>
              </w:rPr>
            </w:pPr>
          </w:p>
        </w:tc>
        <w:tc>
          <w:tcPr>
            <w:tcW w:w="494" w:type="dxa"/>
            <w:vMerge w:val="continue"/>
            <w:tcBorders>
              <w:top w:val="nil"/>
            </w:tcBorders>
            <w:textDirection w:val="tbRlV"/>
            <w:vAlign w:val="top"/>
          </w:tcPr>
          <w:p w14:paraId="55853860">
            <w:pPr>
              <w:outlineLvl w:val="9"/>
              <w:rPr>
                <w:rFonts w:ascii="Arial"/>
                <w:color w:val="auto"/>
                <w:sz w:val="21"/>
                <w:highlight w:val="none"/>
              </w:rPr>
            </w:pPr>
          </w:p>
        </w:tc>
        <w:tc>
          <w:tcPr>
            <w:tcW w:w="4663" w:type="dxa"/>
            <w:vAlign w:val="top"/>
          </w:tcPr>
          <w:p w14:paraId="3B1B50A3">
            <w:pPr>
              <w:pStyle w:val="13"/>
              <w:spacing w:before="207" w:line="228" w:lineRule="auto"/>
              <w:ind w:left="122"/>
              <w:outlineLvl w:val="9"/>
              <w:rPr>
                <w:color w:val="auto"/>
                <w:highlight w:val="none"/>
              </w:rPr>
            </w:pPr>
            <w:r>
              <w:rPr>
                <w:color w:val="auto"/>
                <w:spacing w:val="7"/>
                <w:highlight w:val="none"/>
              </w:rPr>
              <w:t>（6）特定资格条件</w:t>
            </w:r>
          </w:p>
        </w:tc>
        <w:tc>
          <w:tcPr>
            <w:tcW w:w="3586" w:type="dxa"/>
            <w:vAlign w:val="top"/>
          </w:tcPr>
          <w:p w14:paraId="01775918">
            <w:pPr>
              <w:pStyle w:val="13"/>
              <w:spacing w:before="87" w:line="225" w:lineRule="auto"/>
              <w:ind w:left="116" w:right="107"/>
              <w:outlineLvl w:val="9"/>
              <w:rPr>
                <w:color w:val="auto"/>
                <w:highlight w:val="none"/>
              </w:rPr>
            </w:pPr>
            <w:r>
              <w:rPr>
                <w:color w:val="auto"/>
                <w:spacing w:val="7"/>
                <w:highlight w:val="none"/>
              </w:rPr>
              <w:t>按第一篇（二）特定资格条件</w:t>
            </w:r>
            <w:r>
              <w:rPr>
                <w:color w:val="auto"/>
                <w:spacing w:val="-56"/>
                <w:highlight w:val="none"/>
              </w:rPr>
              <w:t xml:space="preserve"> </w:t>
            </w:r>
            <w:r>
              <w:rPr>
                <w:color w:val="auto"/>
                <w:spacing w:val="7"/>
                <w:highlight w:val="none"/>
              </w:rPr>
              <w:t>”的要</w:t>
            </w:r>
            <w:r>
              <w:rPr>
                <w:color w:val="auto"/>
                <w:highlight w:val="none"/>
              </w:rPr>
              <w:t xml:space="preserve"> </w:t>
            </w:r>
            <w:r>
              <w:rPr>
                <w:color w:val="auto"/>
                <w:spacing w:val="7"/>
                <w:highlight w:val="none"/>
              </w:rPr>
              <w:t>求提交（如有）</w:t>
            </w:r>
          </w:p>
        </w:tc>
      </w:tr>
      <w:tr w14:paraId="5D63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603980C5">
            <w:pPr>
              <w:pStyle w:val="13"/>
              <w:spacing w:before="197" w:line="271" w:lineRule="exact"/>
              <w:ind w:left="340"/>
              <w:outlineLvl w:val="9"/>
              <w:rPr>
                <w:color w:val="auto"/>
                <w:highlight w:val="none"/>
              </w:rPr>
            </w:pPr>
            <w:r>
              <w:rPr>
                <w:color w:val="auto"/>
                <w:position w:val="1"/>
                <w:highlight w:val="none"/>
              </w:rPr>
              <w:t>2</w:t>
            </w:r>
          </w:p>
        </w:tc>
        <w:tc>
          <w:tcPr>
            <w:tcW w:w="5157" w:type="dxa"/>
            <w:gridSpan w:val="2"/>
            <w:vAlign w:val="top"/>
          </w:tcPr>
          <w:p w14:paraId="2A0CE338">
            <w:pPr>
              <w:pStyle w:val="13"/>
              <w:spacing w:before="197" w:line="229" w:lineRule="auto"/>
              <w:ind w:left="112"/>
              <w:outlineLvl w:val="9"/>
              <w:rPr>
                <w:color w:val="auto"/>
                <w:highlight w:val="none"/>
              </w:rPr>
            </w:pPr>
            <w:r>
              <w:rPr>
                <w:color w:val="auto"/>
                <w:spacing w:val="6"/>
                <w:highlight w:val="none"/>
              </w:rPr>
              <w:t>保证金</w:t>
            </w:r>
          </w:p>
        </w:tc>
        <w:tc>
          <w:tcPr>
            <w:tcW w:w="3586" w:type="dxa"/>
            <w:vAlign w:val="top"/>
          </w:tcPr>
          <w:p w14:paraId="3C389445">
            <w:pPr>
              <w:pStyle w:val="13"/>
              <w:spacing w:before="77" w:line="225" w:lineRule="auto"/>
              <w:ind w:left="124" w:right="109" w:hanging="8"/>
              <w:outlineLvl w:val="9"/>
              <w:rPr>
                <w:color w:val="auto"/>
                <w:highlight w:val="none"/>
              </w:rPr>
            </w:pPr>
            <w:r>
              <w:rPr>
                <w:color w:val="auto"/>
                <w:spacing w:val="9"/>
                <w:highlight w:val="none"/>
              </w:rPr>
              <w:t>按照询价通知书要求足额缴纳保证金</w:t>
            </w:r>
            <w:r>
              <w:rPr>
                <w:color w:val="auto"/>
                <w:spacing w:val="10"/>
                <w:highlight w:val="none"/>
              </w:rPr>
              <w:t xml:space="preserve"> </w:t>
            </w:r>
            <w:r>
              <w:rPr>
                <w:color w:val="auto"/>
                <w:spacing w:val="2"/>
                <w:highlight w:val="none"/>
              </w:rPr>
              <w:t>（如有）</w:t>
            </w:r>
          </w:p>
        </w:tc>
      </w:tr>
    </w:tbl>
    <w:p w14:paraId="7B5CC835">
      <w:pPr>
        <w:spacing w:before="85" w:line="307" w:lineRule="auto"/>
        <w:ind w:left="252" w:right="242" w:firstLine="480"/>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w:t>
      </w:r>
      <w:r>
        <w:rPr>
          <w:rFonts w:ascii="宋体" w:hAnsi="宋体" w:eastAsia="宋体" w:cs="宋体"/>
          <w:color w:val="auto"/>
          <w:spacing w:val="-78"/>
          <w:sz w:val="24"/>
          <w:szCs w:val="24"/>
          <w:highlight w:val="none"/>
        </w:rPr>
        <w:t xml:space="preserve"> </w:t>
      </w:r>
      <w:r>
        <w:rPr>
          <w:rFonts w:hint="default" w:ascii="Calibri" w:hAnsi="Calibri" w:eastAsia="宋体" w:cs="Calibri"/>
          <w:color w:val="auto"/>
          <w:spacing w:val="-78"/>
          <w:sz w:val="24"/>
          <w:szCs w:val="24"/>
          <w:highlight w:val="none"/>
        </w:rPr>
        <w:t>①</w:t>
      </w:r>
      <w:r>
        <w:rPr>
          <w:rFonts w:hint="eastAsia" w:ascii="宋体" w:hAnsi="宋体" w:eastAsia="宋体" w:cs="宋体"/>
          <w:color w:val="auto"/>
          <w:spacing w:val="-78"/>
          <w:sz w:val="24"/>
          <w:szCs w:val="24"/>
          <w:highlight w:val="none"/>
          <w:lang w:val="en-US" w:eastAsia="zh-CN"/>
        </w:rPr>
        <w:t xml:space="preserve">   </w:t>
      </w:r>
      <w:r>
        <w:rPr>
          <w:rFonts w:ascii="宋体" w:hAnsi="宋体" w:eastAsia="宋体" w:cs="宋体"/>
          <w:color w:val="auto"/>
          <w:spacing w:val="-4"/>
          <w:sz w:val="24"/>
          <w:szCs w:val="24"/>
          <w:highlight w:val="none"/>
        </w:rPr>
        <w:t>供应商按“多证合一</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”登记制度办理营业执照的，组织机构代码证、税务登记</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证（副本）以供应商所提供的营业执照（副本）复印件为准。</w:t>
      </w:r>
    </w:p>
    <w:p w14:paraId="5A9500D2">
      <w:pPr>
        <w:spacing w:before="4" w:line="313" w:lineRule="auto"/>
        <w:ind w:right="179" w:firstLine="480" w:firstLineChars="200"/>
        <w:jc w:val="both"/>
        <w:outlineLvl w:val="9"/>
        <w:rPr>
          <w:rFonts w:ascii="宋体" w:hAnsi="宋体" w:eastAsia="宋体" w:cs="宋体"/>
          <w:color w:val="auto"/>
          <w:sz w:val="24"/>
          <w:szCs w:val="24"/>
          <w:highlight w:val="none"/>
        </w:rPr>
      </w:pPr>
      <w:r>
        <w:rPr>
          <w:rFonts w:hint="default" w:ascii="Calibri" w:hAnsi="Calibri" w:eastAsia="宋体" w:cs="Calibri"/>
          <w:color w:val="auto"/>
          <w:sz w:val="24"/>
          <w:szCs w:val="24"/>
          <w:highlight w:val="none"/>
        </w:rPr>
        <w:t>②</w:t>
      </w:r>
      <w:r>
        <w:rPr>
          <w:rFonts w:ascii="宋体" w:hAnsi="宋体" w:eastAsia="宋体" w:cs="宋体"/>
          <w:color w:val="auto"/>
          <w:sz w:val="24"/>
          <w:szCs w:val="24"/>
          <w:highlight w:val="none"/>
        </w:rPr>
        <w:t>“重大违法记录</w:t>
      </w:r>
      <w:r>
        <w:rPr>
          <w:rFonts w:ascii="宋体" w:hAnsi="宋体" w:eastAsia="宋体" w:cs="宋体"/>
          <w:color w:val="auto"/>
          <w:spacing w:val="-71"/>
          <w:sz w:val="24"/>
          <w:szCs w:val="24"/>
          <w:highlight w:val="none"/>
        </w:rPr>
        <w:t xml:space="preserve"> </w:t>
      </w:r>
      <w:r>
        <w:rPr>
          <w:rFonts w:ascii="宋体" w:hAnsi="宋体" w:eastAsia="宋体" w:cs="宋体"/>
          <w:color w:val="auto"/>
          <w:sz w:val="24"/>
          <w:szCs w:val="24"/>
          <w:highlight w:val="none"/>
        </w:rPr>
        <w:t>”，是指供应商因违法经营受到刑事处罚或者责令停产停业、吊销 许可证或者执照、较大数额罚款等行政处罚。行政处罚中“较大数额</w:t>
      </w:r>
      <w:r>
        <w:rPr>
          <w:rFonts w:ascii="宋体" w:hAnsi="宋体" w:eastAsia="宋体" w:cs="宋体"/>
          <w:color w:val="auto"/>
          <w:spacing w:val="-78"/>
          <w:sz w:val="24"/>
          <w:szCs w:val="24"/>
          <w:highlight w:val="none"/>
        </w:rPr>
        <w:t xml:space="preserve"> </w:t>
      </w:r>
      <w:r>
        <w:rPr>
          <w:rFonts w:ascii="宋体" w:hAnsi="宋体" w:eastAsia="宋体" w:cs="宋体"/>
          <w:color w:val="auto"/>
          <w:sz w:val="24"/>
          <w:szCs w:val="24"/>
          <w:highlight w:val="none"/>
        </w:rPr>
        <w:t xml:space="preserve">”的认定标准，由被 </w:t>
      </w:r>
      <w:r>
        <w:rPr>
          <w:rFonts w:ascii="宋体" w:hAnsi="宋体" w:eastAsia="宋体" w:cs="宋体"/>
          <w:color w:val="auto"/>
          <w:spacing w:val="-3"/>
          <w:sz w:val="24"/>
          <w:szCs w:val="24"/>
          <w:highlight w:val="none"/>
        </w:rPr>
        <w:t>执行人所在的省、自治区、直辖市人民政府制定，国务院</w:t>
      </w:r>
      <w:r>
        <w:rPr>
          <w:rFonts w:ascii="宋体" w:hAnsi="宋体" w:eastAsia="宋体" w:cs="宋体"/>
          <w:color w:val="auto"/>
          <w:spacing w:val="-4"/>
          <w:sz w:val="24"/>
          <w:szCs w:val="24"/>
          <w:highlight w:val="none"/>
        </w:rPr>
        <w:t>有关部门规定了较大数额标准的，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从其规定。</w:t>
      </w:r>
    </w:p>
    <w:p w14:paraId="474BF6F6">
      <w:pPr>
        <w:spacing w:before="3" w:line="308" w:lineRule="auto"/>
        <w:ind w:left="252" w:right="242" w:firstLine="482"/>
        <w:jc w:val="both"/>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符合性检查。依据询价通知书的规定，从响应文件的有效性、完整性和对询</w:t>
      </w:r>
      <w:r>
        <w:rPr>
          <w:rFonts w:ascii="宋体" w:hAnsi="宋体" w:eastAsia="宋体" w:cs="宋体"/>
          <w:color w:val="auto"/>
          <w:spacing w:val="-3"/>
          <w:sz w:val="24"/>
          <w:szCs w:val="24"/>
          <w:highlight w:val="none"/>
        </w:rPr>
        <w:t>价通知</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书的响应程度进行审查，以确定是否对询价通知书的实质性要求作出响应。符合性检查资</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料表如下：</w:t>
      </w:r>
    </w:p>
    <w:p w14:paraId="1C75C94B">
      <w:pPr>
        <w:spacing w:before="38"/>
        <w:outlineLvl w:val="9"/>
        <w:rPr>
          <w:color w:val="auto"/>
          <w:highlight w:val="none"/>
        </w:rPr>
      </w:pPr>
    </w:p>
    <w:tbl>
      <w:tblPr>
        <w:tblStyle w:val="12"/>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68E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6DBB2FB4">
            <w:pPr>
              <w:pStyle w:val="13"/>
              <w:spacing w:before="57" w:line="230" w:lineRule="auto"/>
              <w:ind w:left="115"/>
              <w:outlineLvl w:val="9"/>
              <w:rPr>
                <w:color w:val="auto"/>
                <w:highlight w:val="none"/>
              </w:rPr>
            </w:pPr>
            <w:r>
              <w:rPr>
                <w:b/>
                <w:bCs/>
                <w:color w:val="auto"/>
                <w:spacing w:val="4"/>
                <w:highlight w:val="none"/>
              </w:rPr>
              <w:t>序号</w:t>
            </w:r>
          </w:p>
        </w:tc>
        <w:tc>
          <w:tcPr>
            <w:tcW w:w="3542" w:type="dxa"/>
            <w:gridSpan w:val="2"/>
            <w:vAlign w:val="top"/>
          </w:tcPr>
          <w:p w14:paraId="77B6521F">
            <w:pPr>
              <w:pStyle w:val="13"/>
              <w:spacing w:before="58" w:line="228" w:lineRule="auto"/>
              <w:ind w:left="1351"/>
              <w:outlineLvl w:val="9"/>
              <w:rPr>
                <w:color w:val="auto"/>
                <w:highlight w:val="none"/>
              </w:rPr>
            </w:pPr>
            <w:r>
              <w:rPr>
                <w:b/>
                <w:bCs/>
                <w:color w:val="auto"/>
                <w:spacing w:val="6"/>
                <w:highlight w:val="none"/>
              </w:rPr>
              <w:t>评审因素</w:t>
            </w:r>
          </w:p>
        </w:tc>
        <w:tc>
          <w:tcPr>
            <w:tcW w:w="5672" w:type="dxa"/>
            <w:vAlign w:val="top"/>
          </w:tcPr>
          <w:p w14:paraId="22D9A2A3">
            <w:pPr>
              <w:pStyle w:val="13"/>
              <w:spacing w:before="58" w:line="229" w:lineRule="auto"/>
              <w:ind w:left="2417"/>
              <w:outlineLvl w:val="9"/>
              <w:rPr>
                <w:color w:val="auto"/>
                <w:highlight w:val="none"/>
              </w:rPr>
            </w:pPr>
            <w:r>
              <w:rPr>
                <w:b/>
                <w:bCs/>
                <w:color w:val="auto"/>
                <w:spacing w:val="6"/>
                <w:highlight w:val="none"/>
              </w:rPr>
              <w:t>评审标准</w:t>
            </w:r>
          </w:p>
        </w:tc>
      </w:tr>
      <w:tr w14:paraId="301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61C7131A">
            <w:pPr>
              <w:spacing w:line="263" w:lineRule="auto"/>
              <w:outlineLvl w:val="9"/>
              <w:rPr>
                <w:rFonts w:ascii="Arial"/>
                <w:color w:val="auto"/>
                <w:sz w:val="21"/>
                <w:highlight w:val="none"/>
              </w:rPr>
            </w:pPr>
          </w:p>
          <w:p w14:paraId="2426730F">
            <w:pPr>
              <w:spacing w:line="263" w:lineRule="auto"/>
              <w:outlineLvl w:val="9"/>
              <w:rPr>
                <w:rFonts w:ascii="Arial"/>
                <w:color w:val="auto"/>
                <w:sz w:val="21"/>
                <w:highlight w:val="none"/>
              </w:rPr>
            </w:pPr>
          </w:p>
          <w:p w14:paraId="102BC5D7">
            <w:pPr>
              <w:spacing w:line="264" w:lineRule="auto"/>
              <w:outlineLvl w:val="9"/>
              <w:rPr>
                <w:rFonts w:ascii="Arial"/>
                <w:color w:val="auto"/>
                <w:sz w:val="21"/>
                <w:highlight w:val="none"/>
              </w:rPr>
            </w:pPr>
          </w:p>
          <w:p w14:paraId="278DA808">
            <w:pPr>
              <w:pStyle w:val="13"/>
              <w:spacing w:before="65" w:line="271" w:lineRule="exact"/>
              <w:ind w:left="307"/>
              <w:outlineLvl w:val="9"/>
              <w:rPr>
                <w:color w:val="auto"/>
                <w:highlight w:val="none"/>
              </w:rPr>
            </w:pPr>
            <w:r>
              <w:rPr>
                <w:color w:val="auto"/>
                <w:position w:val="1"/>
                <w:highlight w:val="none"/>
              </w:rPr>
              <w:t>1</w:t>
            </w:r>
          </w:p>
        </w:tc>
        <w:tc>
          <w:tcPr>
            <w:tcW w:w="1559" w:type="dxa"/>
            <w:vMerge w:val="restart"/>
            <w:tcBorders>
              <w:bottom w:val="nil"/>
            </w:tcBorders>
            <w:vAlign w:val="top"/>
          </w:tcPr>
          <w:p w14:paraId="23967267">
            <w:pPr>
              <w:spacing w:line="263" w:lineRule="auto"/>
              <w:outlineLvl w:val="9"/>
              <w:rPr>
                <w:rFonts w:ascii="Arial"/>
                <w:color w:val="auto"/>
                <w:sz w:val="21"/>
                <w:highlight w:val="none"/>
              </w:rPr>
            </w:pPr>
          </w:p>
          <w:p w14:paraId="1ADAB28C">
            <w:pPr>
              <w:spacing w:line="263" w:lineRule="auto"/>
              <w:outlineLvl w:val="9"/>
              <w:rPr>
                <w:rFonts w:ascii="Arial"/>
                <w:color w:val="auto"/>
                <w:sz w:val="21"/>
                <w:highlight w:val="none"/>
              </w:rPr>
            </w:pPr>
          </w:p>
          <w:p w14:paraId="7E2E23EB">
            <w:pPr>
              <w:spacing w:line="264" w:lineRule="auto"/>
              <w:outlineLvl w:val="9"/>
              <w:rPr>
                <w:rFonts w:ascii="Arial"/>
                <w:color w:val="auto"/>
                <w:sz w:val="21"/>
                <w:highlight w:val="none"/>
              </w:rPr>
            </w:pPr>
          </w:p>
          <w:p w14:paraId="7B13D525">
            <w:pPr>
              <w:pStyle w:val="13"/>
              <w:spacing w:before="65" w:line="229" w:lineRule="auto"/>
              <w:ind w:left="112"/>
              <w:outlineLvl w:val="9"/>
              <w:rPr>
                <w:color w:val="auto"/>
                <w:highlight w:val="none"/>
              </w:rPr>
            </w:pPr>
            <w:r>
              <w:rPr>
                <w:color w:val="auto"/>
                <w:spacing w:val="7"/>
                <w:highlight w:val="none"/>
              </w:rPr>
              <w:t>有效性审查</w:t>
            </w:r>
          </w:p>
        </w:tc>
        <w:tc>
          <w:tcPr>
            <w:tcW w:w="1983" w:type="dxa"/>
            <w:vAlign w:val="top"/>
          </w:tcPr>
          <w:p w14:paraId="4289BA16">
            <w:pPr>
              <w:pStyle w:val="13"/>
              <w:spacing w:before="85" w:line="228" w:lineRule="auto"/>
              <w:ind w:left="123"/>
              <w:outlineLvl w:val="9"/>
              <w:rPr>
                <w:color w:val="auto"/>
                <w:highlight w:val="none"/>
              </w:rPr>
            </w:pPr>
            <w:r>
              <w:rPr>
                <w:color w:val="auto"/>
                <w:spacing w:val="6"/>
                <w:highlight w:val="none"/>
              </w:rPr>
              <w:t>响应文件签署</w:t>
            </w:r>
          </w:p>
        </w:tc>
        <w:tc>
          <w:tcPr>
            <w:tcW w:w="5672" w:type="dxa"/>
            <w:vAlign w:val="top"/>
          </w:tcPr>
          <w:p w14:paraId="36F58168">
            <w:pPr>
              <w:pStyle w:val="13"/>
              <w:spacing w:before="85" w:line="228" w:lineRule="auto"/>
              <w:ind w:left="125"/>
              <w:outlineLvl w:val="9"/>
              <w:rPr>
                <w:color w:val="auto"/>
                <w:highlight w:val="none"/>
              </w:rPr>
            </w:pPr>
            <w:r>
              <w:rPr>
                <w:color w:val="auto"/>
                <w:spacing w:val="8"/>
                <w:highlight w:val="none"/>
              </w:rPr>
              <w:t>响应文件上法定代表人或其授权代表人的签字齐全。</w:t>
            </w:r>
          </w:p>
        </w:tc>
      </w:tr>
      <w:tr w14:paraId="7EF7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589A9EE0">
            <w:pPr>
              <w:outlineLvl w:val="9"/>
              <w:rPr>
                <w:rFonts w:ascii="Arial"/>
                <w:color w:val="auto"/>
                <w:sz w:val="21"/>
                <w:highlight w:val="none"/>
              </w:rPr>
            </w:pPr>
          </w:p>
        </w:tc>
        <w:tc>
          <w:tcPr>
            <w:tcW w:w="1559" w:type="dxa"/>
            <w:vMerge w:val="continue"/>
            <w:tcBorders>
              <w:top w:val="nil"/>
              <w:bottom w:val="nil"/>
            </w:tcBorders>
            <w:vAlign w:val="top"/>
          </w:tcPr>
          <w:p w14:paraId="03DBEDB8">
            <w:pPr>
              <w:outlineLvl w:val="9"/>
              <w:rPr>
                <w:rFonts w:ascii="Arial"/>
                <w:color w:val="auto"/>
                <w:sz w:val="21"/>
                <w:highlight w:val="none"/>
              </w:rPr>
            </w:pPr>
          </w:p>
        </w:tc>
        <w:tc>
          <w:tcPr>
            <w:tcW w:w="1983" w:type="dxa"/>
            <w:vAlign w:val="top"/>
          </w:tcPr>
          <w:p w14:paraId="70EAD283">
            <w:pPr>
              <w:pStyle w:val="13"/>
              <w:spacing w:before="48" w:line="225" w:lineRule="auto"/>
              <w:ind w:left="131" w:right="106" w:hanging="18"/>
              <w:outlineLvl w:val="9"/>
              <w:rPr>
                <w:color w:val="auto"/>
                <w:highlight w:val="none"/>
              </w:rPr>
            </w:pPr>
            <w:r>
              <w:rPr>
                <w:color w:val="auto"/>
                <w:spacing w:val="19"/>
                <w:highlight w:val="none"/>
              </w:rPr>
              <w:t>法定代表人身份证</w:t>
            </w:r>
            <w:r>
              <w:rPr>
                <w:color w:val="auto"/>
                <w:spacing w:val="4"/>
                <w:highlight w:val="none"/>
              </w:rPr>
              <w:t xml:space="preserve"> </w:t>
            </w:r>
            <w:r>
              <w:rPr>
                <w:color w:val="auto"/>
                <w:spacing w:val="5"/>
                <w:highlight w:val="none"/>
              </w:rPr>
              <w:t>明及授权委托书</w:t>
            </w:r>
          </w:p>
        </w:tc>
        <w:tc>
          <w:tcPr>
            <w:tcW w:w="5672" w:type="dxa"/>
            <w:vAlign w:val="top"/>
          </w:tcPr>
          <w:p w14:paraId="73C42639">
            <w:pPr>
              <w:pStyle w:val="13"/>
              <w:spacing w:before="48" w:line="225" w:lineRule="auto"/>
              <w:ind w:left="119" w:right="109" w:hanging="4"/>
              <w:outlineLvl w:val="9"/>
              <w:rPr>
                <w:color w:val="auto"/>
                <w:highlight w:val="none"/>
              </w:rPr>
            </w:pPr>
            <w:r>
              <w:rPr>
                <w:color w:val="auto"/>
                <w:spacing w:val="9"/>
                <w:highlight w:val="none"/>
              </w:rPr>
              <w:t>法定代表人身份证明及授权委托书有效，符合询价通知书规</w:t>
            </w:r>
            <w:r>
              <w:rPr>
                <w:color w:val="auto"/>
                <w:spacing w:val="6"/>
                <w:highlight w:val="none"/>
              </w:rPr>
              <w:t xml:space="preserve"> </w:t>
            </w:r>
            <w:r>
              <w:rPr>
                <w:color w:val="auto"/>
                <w:spacing w:val="8"/>
                <w:highlight w:val="none"/>
              </w:rPr>
              <w:t>定的格式，签字或盖章齐全。</w:t>
            </w:r>
          </w:p>
        </w:tc>
      </w:tr>
      <w:tr w14:paraId="2BC2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5DFD9782">
            <w:pPr>
              <w:outlineLvl w:val="9"/>
              <w:rPr>
                <w:rFonts w:ascii="Arial"/>
                <w:color w:val="auto"/>
                <w:sz w:val="21"/>
                <w:highlight w:val="none"/>
              </w:rPr>
            </w:pPr>
          </w:p>
        </w:tc>
        <w:tc>
          <w:tcPr>
            <w:tcW w:w="1559" w:type="dxa"/>
            <w:vMerge w:val="continue"/>
            <w:tcBorders>
              <w:top w:val="nil"/>
              <w:bottom w:val="nil"/>
            </w:tcBorders>
            <w:vAlign w:val="top"/>
          </w:tcPr>
          <w:p w14:paraId="09935ACF">
            <w:pPr>
              <w:outlineLvl w:val="9"/>
              <w:rPr>
                <w:rFonts w:ascii="Arial"/>
                <w:color w:val="auto"/>
                <w:sz w:val="21"/>
                <w:highlight w:val="none"/>
              </w:rPr>
            </w:pPr>
          </w:p>
        </w:tc>
        <w:tc>
          <w:tcPr>
            <w:tcW w:w="1983" w:type="dxa"/>
            <w:vAlign w:val="top"/>
          </w:tcPr>
          <w:p w14:paraId="5B73C83B">
            <w:pPr>
              <w:pStyle w:val="13"/>
              <w:spacing w:before="86" w:line="229" w:lineRule="auto"/>
              <w:ind w:left="123"/>
              <w:outlineLvl w:val="9"/>
              <w:rPr>
                <w:color w:val="auto"/>
                <w:highlight w:val="none"/>
              </w:rPr>
            </w:pPr>
            <w:r>
              <w:rPr>
                <w:color w:val="auto"/>
                <w:spacing w:val="4"/>
                <w:highlight w:val="none"/>
              </w:rPr>
              <w:t>响应方案</w:t>
            </w:r>
          </w:p>
        </w:tc>
        <w:tc>
          <w:tcPr>
            <w:tcW w:w="5672" w:type="dxa"/>
            <w:vAlign w:val="top"/>
          </w:tcPr>
          <w:p w14:paraId="27700A45">
            <w:pPr>
              <w:pStyle w:val="13"/>
              <w:spacing w:before="87" w:line="228" w:lineRule="auto"/>
              <w:ind w:left="114"/>
              <w:outlineLvl w:val="9"/>
              <w:rPr>
                <w:color w:val="auto"/>
                <w:highlight w:val="none"/>
              </w:rPr>
            </w:pPr>
            <w:r>
              <w:rPr>
                <w:color w:val="auto"/>
                <w:spacing w:val="8"/>
                <w:highlight w:val="none"/>
              </w:rPr>
              <w:t>每个分包只能有一个响应方案。</w:t>
            </w:r>
          </w:p>
        </w:tc>
      </w:tr>
      <w:tr w14:paraId="72C2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05029157">
            <w:pPr>
              <w:outlineLvl w:val="9"/>
              <w:rPr>
                <w:rFonts w:ascii="Arial"/>
                <w:color w:val="auto"/>
                <w:sz w:val="21"/>
                <w:highlight w:val="none"/>
              </w:rPr>
            </w:pPr>
          </w:p>
        </w:tc>
        <w:tc>
          <w:tcPr>
            <w:tcW w:w="1559" w:type="dxa"/>
            <w:vMerge w:val="continue"/>
            <w:tcBorders>
              <w:top w:val="nil"/>
            </w:tcBorders>
            <w:vAlign w:val="top"/>
          </w:tcPr>
          <w:p w14:paraId="0CFD99F6">
            <w:pPr>
              <w:outlineLvl w:val="9"/>
              <w:rPr>
                <w:rFonts w:ascii="Arial"/>
                <w:color w:val="auto"/>
                <w:sz w:val="21"/>
                <w:highlight w:val="none"/>
              </w:rPr>
            </w:pPr>
          </w:p>
        </w:tc>
        <w:tc>
          <w:tcPr>
            <w:tcW w:w="1983" w:type="dxa"/>
            <w:vAlign w:val="top"/>
          </w:tcPr>
          <w:p w14:paraId="25FA9FD3">
            <w:pPr>
              <w:pStyle w:val="13"/>
              <w:spacing w:before="187" w:line="227" w:lineRule="auto"/>
              <w:ind w:left="111"/>
              <w:outlineLvl w:val="9"/>
              <w:rPr>
                <w:color w:val="auto"/>
                <w:highlight w:val="none"/>
              </w:rPr>
            </w:pPr>
            <w:r>
              <w:rPr>
                <w:color w:val="auto"/>
                <w:spacing w:val="8"/>
                <w:highlight w:val="none"/>
              </w:rPr>
              <w:t>报价唯一</w:t>
            </w:r>
          </w:p>
        </w:tc>
        <w:tc>
          <w:tcPr>
            <w:tcW w:w="5672" w:type="dxa"/>
            <w:vAlign w:val="top"/>
          </w:tcPr>
          <w:p w14:paraId="596833D6">
            <w:pPr>
              <w:pStyle w:val="13"/>
              <w:spacing w:before="68" w:line="224" w:lineRule="auto"/>
              <w:ind w:left="118" w:right="152" w:firstLine="8"/>
              <w:outlineLvl w:val="9"/>
              <w:rPr>
                <w:color w:val="auto"/>
                <w:highlight w:val="none"/>
              </w:rPr>
            </w:pPr>
            <w:r>
              <w:rPr>
                <w:color w:val="auto"/>
                <w:spacing w:val="7"/>
                <w:highlight w:val="none"/>
              </w:rPr>
              <w:t>只能在预算金额和最高限价内报价，只能有一个有效报价，</w:t>
            </w:r>
            <w:r>
              <w:rPr>
                <w:color w:val="auto"/>
                <w:spacing w:val="4"/>
                <w:highlight w:val="none"/>
              </w:rPr>
              <w:t xml:space="preserve"> </w:t>
            </w:r>
            <w:r>
              <w:rPr>
                <w:color w:val="auto"/>
                <w:spacing w:val="7"/>
                <w:highlight w:val="none"/>
              </w:rPr>
              <w:t>不得提交选择性报价。</w:t>
            </w:r>
          </w:p>
        </w:tc>
      </w:tr>
      <w:tr w14:paraId="6222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230860D5">
            <w:pPr>
              <w:spacing w:line="303" w:lineRule="auto"/>
              <w:outlineLvl w:val="9"/>
              <w:rPr>
                <w:rFonts w:ascii="Arial"/>
                <w:color w:val="auto"/>
                <w:sz w:val="21"/>
                <w:highlight w:val="none"/>
              </w:rPr>
            </w:pPr>
          </w:p>
          <w:p w14:paraId="70237EB2">
            <w:pPr>
              <w:pStyle w:val="13"/>
              <w:spacing w:before="65" w:line="271" w:lineRule="exact"/>
              <w:ind w:left="294"/>
              <w:outlineLvl w:val="9"/>
              <w:rPr>
                <w:color w:val="auto"/>
                <w:highlight w:val="none"/>
              </w:rPr>
            </w:pPr>
            <w:r>
              <w:rPr>
                <w:color w:val="auto"/>
                <w:position w:val="1"/>
                <w:highlight w:val="none"/>
              </w:rPr>
              <w:t>2</w:t>
            </w:r>
          </w:p>
        </w:tc>
        <w:tc>
          <w:tcPr>
            <w:tcW w:w="1559" w:type="dxa"/>
            <w:vMerge w:val="restart"/>
            <w:tcBorders>
              <w:bottom w:val="nil"/>
            </w:tcBorders>
            <w:vAlign w:val="top"/>
          </w:tcPr>
          <w:p w14:paraId="7AEE5D03">
            <w:pPr>
              <w:spacing w:line="303" w:lineRule="auto"/>
              <w:outlineLvl w:val="9"/>
              <w:rPr>
                <w:rFonts w:ascii="Arial"/>
                <w:color w:val="auto"/>
                <w:sz w:val="21"/>
                <w:highlight w:val="none"/>
              </w:rPr>
            </w:pPr>
          </w:p>
          <w:p w14:paraId="3AC34486">
            <w:pPr>
              <w:pStyle w:val="13"/>
              <w:spacing w:before="65" w:line="228" w:lineRule="auto"/>
              <w:ind w:left="113"/>
              <w:outlineLvl w:val="9"/>
              <w:rPr>
                <w:color w:val="auto"/>
                <w:highlight w:val="none"/>
              </w:rPr>
            </w:pPr>
            <w:r>
              <w:rPr>
                <w:color w:val="auto"/>
                <w:spacing w:val="7"/>
                <w:highlight w:val="none"/>
              </w:rPr>
              <w:t>完整性审查</w:t>
            </w:r>
          </w:p>
        </w:tc>
        <w:tc>
          <w:tcPr>
            <w:tcW w:w="1983" w:type="dxa"/>
            <w:vAlign w:val="top"/>
          </w:tcPr>
          <w:p w14:paraId="15DF7680">
            <w:pPr>
              <w:pStyle w:val="13"/>
              <w:spacing w:before="104" w:line="228" w:lineRule="auto"/>
              <w:ind w:left="123"/>
              <w:outlineLvl w:val="9"/>
              <w:rPr>
                <w:color w:val="auto"/>
                <w:highlight w:val="none"/>
              </w:rPr>
            </w:pPr>
            <w:r>
              <w:rPr>
                <w:color w:val="auto"/>
                <w:spacing w:val="6"/>
                <w:highlight w:val="none"/>
              </w:rPr>
              <w:t>响应文件份数</w:t>
            </w:r>
          </w:p>
        </w:tc>
        <w:tc>
          <w:tcPr>
            <w:tcW w:w="5672" w:type="dxa"/>
            <w:vAlign w:val="top"/>
          </w:tcPr>
          <w:p w14:paraId="03CAE803">
            <w:pPr>
              <w:pStyle w:val="13"/>
              <w:spacing w:before="103" w:line="227" w:lineRule="auto"/>
              <w:ind w:left="125"/>
              <w:outlineLvl w:val="9"/>
              <w:rPr>
                <w:color w:val="auto"/>
                <w:highlight w:val="none"/>
              </w:rPr>
            </w:pPr>
            <w:r>
              <w:rPr>
                <w:color w:val="auto"/>
                <w:spacing w:val="8"/>
                <w:highlight w:val="none"/>
              </w:rPr>
              <w:t>响应文件正、副本、电子文档数量符合询价通知书要求。</w:t>
            </w:r>
          </w:p>
        </w:tc>
      </w:tr>
      <w:tr w14:paraId="0D10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5F3F90B1">
            <w:pPr>
              <w:outlineLvl w:val="9"/>
              <w:rPr>
                <w:rFonts w:ascii="Arial"/>
                <w:color w:val="auto"/>
                <w:sz w:val="21"/>
                <w:highlight w:val="none"/>
              </w:rPr>
            </w:pPr>
          </w:p>
        </w:tc>
        <w:tc>
          <w:tcPr>
            <w:tcW w:w="1559" w:type="dxa"/>
            <w:vMerge w:val="continue"/>
            <w:tcBorders>
              <w:top w:val="nil"/>
            </w:tcBorders>
            <w:vAlign w:val="top"/>
          </w:tcPr>
          <w:p w14:paraId="56DE3210">
            <w:pPr>
              <w:outlineLvl w:val="9"/>
              <w:rPr>
                <w:rFonts w:ascii="Arial"/>
                <w:color w:val="auto"/>
                <w:sz w:val="21"/>
                <w:highlight w:val="none"/>
              </w:rPr>
            </w:pPr>
          </w:p>
        </w:tc>
        <w:tc>
          <w:tcPr>
            <w:tcW w:w="1983" w:type="dxa"/>
            <w:vAlign w:val="top"/>
          </w:tcPr>
          <w:p w14:paraId="4B143BFA">
            <w:pPr>
              <w:pStyle w:val="13"/>
              <w:spacing w:before="158" w:line="228" w:lineRule="auto"/>
              <w:ind w:left="123"/>
              <w:outlineLvl w:val="9"/>
              <w:rPr>
                <w:color w:val="auto"/>
                <w:highlight w:val="none"/>
              </w:rPr>
            </w:pPr>
            <w:r>
              <w:rPr>
                <w:color w:val="auto"/>
                <w:spacing w:val="6"/>
                <w:highlight w:val="none"/>
              </w:rPr>
              <w:t>响应文件内容</w:t>
            </w:r>
          </w:p>
        </w:tc>
        <w:tc>
          <w:tcPr>
            <w:tcW w:w="5672" w:type="dxa"/>
            <w:vAlign w:val="top"/>
          </w:tcPr>
          <w:p w14:paraId="4C167763">
            <w:pPr>
              <w:pStyle w:val="13"/>
              <w:spacing w:before="36" w:line="222" w:lineRule="auto"/>
              <w:ind w:left="114" w:right="109" w:firstLine="1"/>
              <w:outlineLvl w:val="9"/>
              <w:rPr>
                <w:color w:val="auto"/>
                <w:highlight w:val="none"/>
              </w:rPr>
            </w:pPr>
            <w:r>
              <w:rPr>
                <w:color w:val="auto"/>
                <w:spacing w:val="9"/>
                <w:highlight w:val="none"/>
              </w:rPr>
              <w:t>按询价通知书第六篇响应文件编制要求进行完整响应，无遗</w:t>
            </w:r>
            <w:r>
              <w:rPr>
                <w:color w:val="auto"/>
                <w:spacing w:val="5"/>
                <w:highlight w:val="none"/>
              </w:rPr>
              <w:t xml:space="preserve"> </w:t>
            </w:r>
            <w:r>
              <w:rPr>
                <w:color w:val="auto"/>
                <w:highlight w:val="none"/>
              </w:rPr>
              <w:t>漏。</w:t>
            </w:r>
          </w:p>
        </w:tc>
      </w:tr>
      <w:tr w14:paraId="46D6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6F939084">
            <w:pPr>
              <w:pStyle w:val="13"/>
              <w:spacing w:before="299" w:line="269" w:lineRule="exact"/>
              <w:ind w:left="295"/>
              <w:outlineLvl w:val="9"/>
              <w:rPr>
                <w:color w:val="auto"/>
                <w:highlight w:val="none"/>
              </w:rPr>
            </w:pPr>
            <w:r>
              <w:rPr>
                <w:color w:val="auto"/>
                <w:position w:val="1"/>
                <w:highlight w:val="none"/>
              </w:rPr>
              <w:t>3</w:t>
            </w:r>
          </w:p>
        </w:tc>
        <w:tc>
          <w:tcPr>
            <w:tcW w:w="1559" w:type="dxa"/>
            <w:vMerge w:val="restart"/>
            <w:tcBorders>
              <w:bottom w:val="nil"/>
            </w:tcBorders>
            <w:vAlign w:val="top"/>
          </w:tcPr>
          <w:p w14:paraId="7E78C9B2">
            <w:pPr>
              <w:pStyle w:val="13"/>
              <w:spacing w:before="178" w:line="222" w:lineRule="auto"/>
              <w:ind w:left="111"/>
              <w:outlineLvl w:val="9"/>
              <w:rPr>
                <w:color w:val="auto"/>
                <w:highlight w:val="none"/>
              </w:rPr>
            </w:pPr>
            <w:r>
              <w:rPr>
                <w:color w:val="auto"/>
                <w:spacing w:val="22"/>
                <w:highlight w:val="none"/>
              </w:rPr>
              <w:t>询价通知书的</w:t>
            </w:r>
          </w:p>
          <w:p w14:paraId="05E6A70B">
            <w:pPr>
              <w:pStyle w:val="13"/>
              <w:spacing w:line="229" w:lineRule="auto"/>
              <w:ind w:left="122"/>
              <w:outlineLvl w:val="9"/>
              <w:rPr>
                <w:color w:val="auto"/>
                <w:highlight w:val="none"/>
              </w:rPr>
            </w:pPr>
            <w:r>
              <w:rPr>
                <w:color w:val="auto"/>
                <w:spacing w:val="6"/>
                <w:highlight w:val="none"/>
              </w:rPr>
              <w:t>响应程度审查</w:t>
            </w:r>
          </w:p>
        </w:tc>
        <w:tc>
          <w:tcPr>
            <w:tcW w:w="1983" w:type="dxa"/>
            <w:vAlign w:val="top"/>
          </w:tcPr>
          <w:p w14:paraId="6F86113D">
            <w:pPr>
              <w:pStyle w:val="13"/>
              <w:spacing w:before="100" w:line="228" w:lineRule="auto"/>
              <w:ind w:left="123"/>
              <w:outlineLvl w:val="9"/>
              <w:rPr>
                <w:color w:val="auto"/>
                <w:highlight w:val="none"/>
              </w:rPr>
            </w:pPr>
            <w:r>
              <w:rPr>
                <w:color w:val="auto"/>
                <w:spacing w:val="6"/>
                <w:highlight w:val="none"/>
              </w:rPr>
              <w:t>响应文件内容</w:t>
            </w:r>
          </w:p>
        </w:tc>
        <w:tc>
          <w:tcPr>
            <w:tcW w:w="5672" w:type="dxa"/>
            <w:vAlign w:val="top"/>
          </w:tcPr>
          <w:p w14:paraId="5BEA1EEA">
            <w:pPr>
              <w:pStyle w:val="13"/>
              <w:spacing w:before="99" w:line="227" w:lineRule="auto"/>
              <w:ind w:left="113"/>
              <w:outlineLvl w:val="9"/>
              <w:rPr>
                <w:color w:val="auto"/>
                <w:highlight w:val="none"/>
              </w:rPr>
            </w:pPr>
            <w:r>
              <w:rPr>
                <w:color w:val="auto"/>
                <w:spacing w:val="9"/>
                <w:highlight w:val="none"/>
              </w:rPr>
              <w:t>对询价通知书第三篇、第四篇规定的询价内容作出响应。</w:t>
            </w:r>
          </w:p>
        </w:tc>
      </w:tr>
      <w:tr w14:paraId="18B5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173A8222">
            <w:pPr>
              <w:outlineLvl w:val="9"/>
              <w:rPr>
                <w:rFonts w:ascii="Arial"/>
                <w:color w:val="auto"/>
                <w:sz w:val="21"/>
                <w:highlight w:val="none"/>
              </w:rPr>
            </w:pPr>
          </w:p>
        </w:tc>
        <w:tc>
          <w:tcPr>
            <w:tcW w:w="1559" w:type="dxa"/>
            <w:vMerge w:val="continue"/>
            <w:tcBorders>
              <w:top w:val="nil"/>
            </w:tcBorders>
            <w:vAlign w:val="top"/>
          </w:tcPr>
          <w:p w14:paraId="1C97E06E">
            <w:pPr>
              <w:outlineLvl w:val="9"/>
              <w:rPr>
                <w:rFonts w:ascii="Arial"/>
                <w:color w:val="auto"/>
                <w:sz w:val="21"/>
                <w:highlight w:val="none"/>
              </w:rPr>
            </w:pPr>
          </w:p>
        </w:tc>
        <w:tc>
          <w:tcPr>
            <w:tcW w:w="1983" w:type="dxa"/>
            <w:vAlign w:val="top"/>
          </w:tcPr>
          <w:p w14:paraId="46637E0C">
            <w:pPr>
              <w:pStyle w:val="13"/>
              <w:spacing w:before="90" w:line="227" w:lineRule="auto"/>
              <w:ind w:left="112"/>
              <w:outlineLvl w:val="9"/>
              <w:rPr>
                <w:color w:val="auto"/>
                <w:highlight w:val="none"/>
              </w:rPr>
            </w:pPr>
            <w:r>
              <w:rPr>
                <w:color w:val="auto"/>
                <w:spacing w:val="8"/>
                <w:highlight w:val="none"/>
              </w:rPr>
              <w:t>询价有效期</w:t>
            </w:r>
          </w:p>
        </w:tc>
        <w:tc>
          <w:tcPr>
            <w:tcW w:w="5672" w:type="dxa"/>
            <w:vAlign w:val="top"/>
          </w:tcPr>
          <w:p w14:paraId="2FD2F586">
            <w:pPr>
              <w:pStyle w:val="13"/>
              <w:spacing w:before="90" w:line="227" w:lineRule="auto"/>
              <w:ind w:left="114"/>
              <w:outlineLvl w:val="9"/>
              <w:rPr>
                <w:color w:val="auto"/>
                <w:highlight w:val="none"/>
              </w:rPr>
            </w:pPr>
            <w:r>
              <w:rPr>
                <w:color w:val="auto"/>
                <w:spacing w:val="8"/>
                <w:highlight w:val="none"/>
              </w:rPr>
              <w:t>满足询价通知书规定。</w:t>
            </w:r>
          </w:p>
        </w:tc>
      </w:tr>
    </w:tbl>
    <w:p w14:paraId="42024C2A">
      <w:pPr>
        <w:spacing w:before="116" w:line="299" w:lineRule="auto"/>
        <w:ind w:left="257" w:right="243" w:firstLine="366"/>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（1）询价小组在对响应文件的有效性、完整性和响应程度进行</w:t>
      </w:r>
      <w:r>
        <w:rPr>
          <w:rFonts w:ascii="宋体" w:hAnsi="宋体" w:eastAsia="宋体" w:cs="宋体"/>
          <w:color w:val="auto"/>
          <w:sz w:val="24"/>
          <w:szCs w:val="24"/>
          <w:highlight w:val="none"/>
        </w:rPr>
        <w:t xml:space="preserve">审查时，可以要求供应 </w:t>
      </w:r>
      <w:r>
        <w:rPr>
          <w:rFonts w:ascii="宋体" w:hAnsi="宋体" w:eastAsia="宋体" w:cs="宋体"/>
          <w:color w:val="auto"/>
          <w:spacing w:val="1"/>
          <w:sz w:val="24"/>
          <w:szCs w:val="24"/>
          <w:highlight w:val="none"/>
        </w:rPr>
        <w:t>商对响应文件中含义不明确、同类问题表述不一致或者有明显文字和计算错误的内容</w:t>
      </w:r>
      <w:r>
        <w:rPr>
          <w:rFonts w:ascii="宋体" w:hAnsi="宋体" w:eastAsia="宋体" w:cs="宋体"/>
          <w:color w:val="auto"/>
          <w:sz w:val="24"/>
          <w:szCs w:val="24"/>
          <w:highlight w:val="none"/>
        </w:rPr>
        <w:t>等作</w:t>
      </w:r>
    </w:p>
    <w:p w14:paraId="0CF6CF1D">
      <w:pPr>
        <w:spacing w:line="299" w:lineRule="auto"/>
        <w:outlineLvl w:val="9"/>
        <w:rPr>
          <w:rFonts w:ascii="宋体" w:hAnsi="宋体" w:eastAsia="宋体" w:cs="宋体"/>
          <w:color w:val="auto"/>
          <w:sz w:val="24"/>
          <w:szCs w:val="24"/>
          <w:highlight w:val="none"/>
        </w:rPr>
        <w:sectPr>
          <w:footerReference r:id="rId11" w:type="default"/>
          <w:pgSz w:w="11907" w:h="16840"/>
          <w:pgMar w:top="1255" w:right="948" w:bottom="1221" w:left="1060" w:header="0" w:footer="853" w:gutter="0"/>
          <w:pgNumType w:fmt="decimal"/>
          <w:cols w:space="720" w:num="1"/>
        </w:sectPr>
      </w:pPr>
    </w:p>
    <w:p w14:paraId="7962924A">
      <w:pPr>
        <w:spacing w:before="49" w:line="307" w:lineRule="auto"/>
        <w:ind w:left="3" w:right="36" w:firstLine="18"/>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出必要的澄清、说明或者更正。供应商的澄清、</w:t>
      </w:r>
      <w:r>
        <w:rPr>
          <w:rFonts w:ascii="宋体" w:hAnsi="宋体" w:eastAsia="宋体" w:cs="宋体"/>
          <w:color w:val="auto"/>
          <w:sz w:val="24"/>
          <w:szCs w:val="24"/>
          <w:highlight w:val="none"/>
        </w:rPr>
        <w:t xml:space="preserve">说明或者更正不得超出响应文件的范围或 </w:t>
      </w:r>
      <w:r>
        <w:rPr>
          <w:rFonts w:ascii="宋体" w:hAnsi="宋体" w:eastAsia="宋体" w:cs="宋体"/>
          <w:color w:val="auto"/>
          <w:spacing w:val="-1"/>
          <w:sz w:val="24"/>
          <w:szCs w:val="24"/>
          <w:highlight w:val="none"/>
        </w:rPr>
        <w:t>者改变响应文件的实质性内容。</w:t>
      </w:r>
    </w:p>
    <w:p w14:paraId="295B4141">
      <w:pPr>
        <w:spacing w:line="278" w:lineRule="auto"/>
        <w:ind w:left="2" w:right="36" w:firstLine="37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（2）询价小组要求供应商澄清、说明或者更正响应文件应当以</w:t>
      </w:r>
      <w:r>
        <w:rPr>
          <w:rFonts w:ascii="宋体" w:hAnsi="宋体" w:eastAsia="宋体" w:cs="宋体"/>
          <w:color w:val="auto"/>
          <w:sz w:val="24"/>
          <w:szCs w:val="24"/>
          <w:highlight w:val="none"/>
        </w:rPr>
        <w:t xml:space="preserve">书面形式作出。供应商 </w:t>
      </w:r>
      <w:r>
        <w:rPr>
          <w:rFonts w:ascii="宋体" w:hAnsi="宋体" w:eastAsia="宋体" w:cs="宋体"/>
          <w:color w:val="auto"/>
          <w:spacing w:val="1"/>
          <w:sz w:val="24"/>
          <w:szCs w:val="24"/>
          <w:highlight w:val="none"/>
        </w:rPr>
        <w:t>的澄清、说明或者更正应当由法定代表人或其授权代表签字或者加盖公章。由授权代表签</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字的，应当附法定代表人授权书。供应商为自然人的，应当</w:t>
      </w:r>
      <w:r>
        <w:rPr>
          <w:rFonts w:ascii="宋体" w:hAnsi="宋体" w:eastAsia="宋体" w:cs="宋体"/>
          <w:color w:val="auto"/>
          <w:spacing w:val="-1"/>
          <w:sz w:val="24"/>
          <w:szCs w:val="24"/>
          <w:highlight w:val="none"/>
        </w:rPr>
        <w:t>由本人签字并附身份证明。</w:t>
      </w:r>
    </w:p>
    <w:p w14:paraId="14437701">
      <w:pPr>
        <w:spacing w:before="116" w:line="264" w:lineRule="auto"/>
        <w:ind w:left="1" w:right="38" w:firstLine="371"/>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（3）在询价过程中询价的任何一方不得向他人透露与询价有关</w:t>
      </w:r>
      <w:r>
        <w:rPr>
          <w:rFonts w:ascii="宋体" w:hAnsi="宋体" w:eastAsia="宋体" w:cs="宋体"/>
          <w:color w:val="auto"/>
          <w:sz w:val="24"/>
          <w:szCs w:val="24"/>
          <w:highlight w:val="none"/>
        </w:rPr>
        <w:t xml:space="preserve">的技术资料、价格或其 </w:t>
      </w:r>
      <w:r>
        <w:rPr>
          <w:rFonts w:ascii="宋体" w:hAnsi="宋体" w:eastAsia="宋体" w:cs="宋体"/>
          <w:color w:val="auto"/>
          <w:spacing w:val="-3"/>
          <w:sz w:val="24"/>
          <w:szCs w:val="24"/>
          <w:highlight w:val="none"/>
        </w:rPr>
        <w:t>他信息。</w:t>
      </w:r>
    </w:p>
    <w:p w14:paraId="4D06F6E9">
      <w:pPr>
        <w:spacing w:before="111" w:line="192" w:lineRule="auto"/>
        <w:ind w:left="347"/>
        <w:outlineLvl w:val="9"/>
        <w:rPr>
          <w:rFonts w:ascii="微软雅黑" w:hAnsi="微软雅黑" w:eastAsia="微软雅黑" w:cs="微软雅黑"/>
          <w:color w:val="auto"/>
          <w:sz w:val="24"/>
          <w:szCs w:val="24"/>
          <w:highlight w:val="none"/>
        </w:rPr>
      </w:pPr>
      <w:bookmarkStart w:id="27" w:name="_Toc19170"/>
      <w:r>
        <w:rPr>
          <w:rFonts w:ascii="微软雅黑" w:hAnsi="微软雅黑" w:eastAsia="微软雅黑" w:cs="微软雅黑"/>
          <w:color w:val="auto"/>
          <w:spacing w:val="-8"/>
          <w:sz w:val="24"/>
          <w:szCs w:val="24"/>
          <w:highlight w:val="none"/>
        </w:rPr>
        <w:t>（ 四</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8"/>
          <w:sz w:val="24"/>
          <w:szCs w:val="24"/>
          <w:highlight w:val="none"/>
        </w:rPr>
        <w:t>）对技术和商务部分的评审</w:t>
      </w:r>
      <w:bookmarkEnd w:id="27"/>
    </w:p>
    <w:p w14:paraId="1F984FC7">
      <w:pPr>
        <w:spacing w:before="71" w:line="265" w:lineRule="auto"/>
        <w:ind w:left="7" w:right="36" w:firstLine="49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1.“第三篇询价项目</w:t>
      </w:r>
      <w:r>
        <w:rPr>
          <w:rFonts w:hint="eastAsia" w:ascii="宋体" w:hAnsi="宋体" w:eastAsia="宋体" w:cs="宋体"/>
          <w:color w:val="auto"/>
          <w:spacing w:val="-3"/>
          <w:sz w:val="24"/>
          <w:szCs w:val="24"/>
          <w:highlight w:val="none"/>
          <w:lang w:val="en-US" w:eastAsia="zh-CN"/>
        </w:rPr>
        <w:t>服务</w:t>
      </w:r>
      <w:r>
        <w:rPr>
          <w:rFonts w:ascii="宋体" w:hAnsi="宋体" w:eastAsia="宋体" w:cs="宋体"/>
          <w:color w:val="auto"/>
          <w:spacing w:val="-3"/>
          <w:sz w:val="24"/>
          <w:szCs w:val="24"/>
          <w:highlight w:val="none"/>
        </w:rPr>
        <w:t>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”有一条及以上不能满足询价</w:t>
      </w:r>
      <w:r>
        <w:rPr>
          <w:rFonts w:ascii="宋体" w:hAnsi="宋体" w:eastAsia="宋体" w:cs="宋体"/>
          <w:color w:val="auto"/>
          <w:spacing w:val="-4"/>
          <w:sz w:val="24"/>
          <w:szCs w:val="24"/>
          <w:highlight w:val="none"/>
        </w:rPr>
        <w:t>通知书要求的供应商为无</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效响应；</w:t>
      </w:r>
    </w:p>
    <w:p w14:paraId="355751E3">
      <w:pPr>
        <w:spacing w:before="110" w:line="265" w:lineRule="auto"/>
        <w:ind w:left="7" w:right="36" w:firstLine="477"/>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2.“第四篇询价项目商务需求</w:t>
      </w:r>
      <w:r>
        <w:rPr>
          <w:rFonts w:ascii="宋体" w:hAnsi="宋体" w:eastAsia="宋体" w:cs="宋体"/>
          <w:color w:val="auto"/>
          <w:spacing w:val="-84"/>
          <w:sz w:val="24"/>
          <w:szCs w:val="24"/>
          <w:highlight w:val="none"/>
        </w:rPr>
        <w:t xml:space="preserve"> </w:t>
      </w:r>
      <w:r>
        <w:rPr>
          <w:rFonts w:ascii="宋体" w:hAnsi="宋体" w:eastAsia="宋体" w:cs="宋体"/>
          <w:color w:val="auto"/>
          <w:spacing w:val="-3"/>
          <w:sz w:val="24"/>
          <w:szCs w:val="24"/>
          <w:highlight w:val="none"/>
        </w:rPr>
        <w:t>”有一条及以上不能满足询价通知书要求的供应商为无</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效响应。</w:t>
      </w:r>
    </w:p>
    <w:p w14:paraId="12FA46B8">
      <w:pPr>
        <w:spacing w:before="110" w:line="192" w:lineRule="auto"/>
        <w:ind w:left="467"/>
        <w:outlineLvl w:val="9"/>
        <w:rPr>
          <w:rFonts w:ascii="微软雅黑" w:hAnsi="微软雅黑" w:eastAsia="微软雅黑" w:cs="微软雅黑"/>
          <w:color w:val="auto"/>
          <w:sz w:val="24"/>
          <w:szCs w:val="24"/>
          <w:highlight w:val="none"/>
        </w:rPr>
      </w:pPr>
      <w:bookmarkStart w:id="28" w:name="_Toc12008"/>
      <w:r>
        <w:rPr>
          <w:rFonts w:ascii="微软雅黑" w:hAnsi="微软雅黑" w:eastAsia="微软雅黑" w:cs="微软雅黑"/>
          <w:color w:val="auto"/>
          <w:sz w:val="24"/>
          <w:szCs w:val="24"/>
          <w:highlight w:val="none"/>
        </w:rPr>
        <w:t>（五）成交标准</w:t>
      </w:r>
      <w:bookmarkEnd w:id="28"/>
    </w:p>
    <w:p w14:paraId="1322C81A">
      <w:pPr>
        <w:spacing w:before="73" w:line="278" w:lineRule="auto"/>
        <w:ind w:left="3" w:right="36" w:firstLine="495"/>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1.询价小组将依照本询价通知书相关规定对质量和服</w:t>
      </w:r>
      <w:r>
        <w:rPr>
          <w:rFonts w:ascii="宋体" w:hAnsi="宋体" w:eastAsia="宋体" w:cs="宋体"/>
          <w:color w:val="auto"/>
          <w:sz w:val="24"/>
          <w:szCs w:val="24"/>
          <w:highlight w:val="none"/>
        </w:rPr>
        <w:t xml:space="preserve">务均能满足询价实质性响应要求 的供应商所提交的报价进行评审，价格按照由低到高的顺序提出3名以上成交候选人，并 </w:t>
      </w:r>
      <w:r>
        <w:rPr>
          <w:rFonts w:ascii="宋体" w:hAnsi="宋体" w:eastAsia="宋体" w:cs="宋体"/>
          <w:color w:val="auto"/>
          <w:spacing w:val="-2"/>
          <w:sz w:val="24"/>
          <w:szCs w:val="24"/>
          <w:highlight w:val="none"/>
        </w:rPr>
        <w:t>编写评审报告。</w:t>
      </w:r>
    </w:p>
    <w:p w14:paraId="38B9E74D">
      <w:pPr>
        <w:spacing w:before="116" w:line="278" w:lineRule="auto"/>
        <w:ind w:firstLine="484"/>
        <w:outlineLvl w:val="9"/>
        <w:rPr>
          <w:rFonts w:ascii="宋体" w:hAnsi="宋体" w:eastAsia="宋体" w:cs="宋体"/>
          <w:color w:val="auto"/>
          <w:sz w:val="24"/>
          <w:szCs w:val="24"/>
          <w:highlight w:val="none"/>
        </w:rPr>
      </w:pPr>
      <w:r>
        <w:rPr>
          <w:rFonts w:ascii="宋体" w:hAnsi="宋体" w:eastAsia="宋体" w:cs="宋体"/>
          <w:color w:val="auto"/>
          <w:spacing w:val="-26"/>
          <w:w w:val="95"/>
          <w:sz w:val="24"/>
          <w:szCs w:val="24"/>
          <w:highlight w:val="none"/>
        </w:rPr>
        <w:t>2.若供应商的报价</w:t>
      </w:r>
      <w:r>
        <w:rPr>
          <w:rFonts w:ascii="宋体" w:hAnsi="宋体" w:eastAsia="宋体" w:cs="宋体"/>
          <w:color w:val="auto"/>
          <w:spacing w:val="-25"/>
          <w:w w:val="95"/>
          <w:sz w:val="24"/>
          <w:szCs w:val="24"/>
          <w:highlight w:val="none"/>
        </w:rPr>
        <w:t>相同的，按技术参数（条款）的优劣确定成交人；报价相同，技术</w:t>
      </w:r>
      <w:r>
        <w:rPr>
          <w:rFonts w:ascii="宋体" w:hAnsi="宋体" w:eastAsia="宋体" w:cs="宋体"/>
          <w:color w:val="auto"/>
          <w:spacing w:val="-12"/>
          <w:w w:val="95"/>
          <w:sz w:val="24"/>
          <w:szCs w:val="24"/>
          <w:highlight w:val="none"/>
        </w:rPr>
        <w:t>参</w:t>
      </w:r>
      <w:r>
        <w:rPr>
          <w:rFonts w:ascii="宋体" w:hAnsi="宋体" w:eastAsia="宋体" w:cs="宋体"/>
          <w:color w:val="auto"/>
          <w:spacing w:val="-28"/>
          <w:w w:val="97"/>
          <w:sz w:val="24"/>
          <w:szCs w:val="24"/>
          <w:highlight w:val="none"/>
        </w:rPr>
        <w:t>数（条款）也相同的，按商务条款优劣</w:t>
      </w:r>
      <w:r>
        <w:rPr>
          <w:rFonts w:ascii="宋体" w:hAnsi="宋体" w:eastAsia="宋体" w:cs="宋体"/>
          <w:color w:val="auto"/>
          <w:spacing w:val="-27"/>
          <w:w w:val="97"/>
          <w:sz w:val="24"/>
          <w:szCs w:val="24"/>
          <w:highlight w:val="none"/>
        </w:rPr>
        <w:t>确定</w:t>
      </w:r>
      <w:r>
        <w:rPr>
          <w:rFonts w:ascii="宋体" w:hAnsi="宋体" w:eastAsia="宋体" w:cs="宋体"/>
          <w:color w:val="auto"/>
          <w:spacing w:val="-28"/>
          <w:w w:val="97"/>
          <w:sz w:val="24"/>
          <w:szCs w:val="24"/>
          <w:highlight w:val="none"/>
        </w:rPr>
        <w:t>成交人；报价相同，且技术和商务相同或不具有可比性则由</w:t>
      </w:r>
      <w:r>
        <w:rPr>
          <w:rFonts w:ascii="宋体" w:hAnsi="宋体" w:eastAsia="宋体" w:cs="宋体"/>
          <w:color w:val="auto"/>
          <w:spacing w:val="-11"/>
          <w:w w:val="97"/>
          <w:sz w:val="24"/>
          <w:szCs w:val="24"/>
          <w:highlight w:val="none"/>
        </w:rPr>
        <w:t>采</w:t>
      </w:r>
      <w:r>
        <w:rPr>
          <w:rFonts w:ascii="宋体" w:hAnsi="宋体" w:eastAsia="宋体" w:cs="宋体"/>
          <w:color w:val="auto"/>
          <w:sz w:val="24"/>
          <w:szCs w:val="24"/>
          <w:highlight w:val="none"/>
        </w:rPr>
        <w:t xml:space="preserve"> </w:t>
      </w:r>
      <w:r>
        <w:rPr>
          <w:rFonts w:ascii="宋体" w:hAnsi="宋体" w:eastAsia="宋体" w:cs="宋体"/>
          <w:color w:val="auto"/>
          <w:spacing w:val="-21"/>
          <w:w w:val="94"/>
          <w:sz w:val="24"/>
          <w:szCs w:val="24"/>
          <w:highlight w:val="none"/>
        </w:rPr>
        <w:t>购人或者采购人委托询价小组在相同报价竞标人中以抽签形式确定成交人。</w:t>
      </w:r>
    </w:p>
    <w:p w14:paraId="79A19378">
      <w:pPr>
        <w:spacing w:before="113" w:line="219" w:lineRule="auto"/>
        <w:ind w:left="486"/>
        <w:outlineLvl w:val="9"/>
        <w:rPr>
          <w:rFonts w:ascii="宋体" w:hAnsi="宋体" w:eastAsia="宋体" w:cs="宋体"/>
          <w:color w:val="auto"/>
          <w:sz w:val="24"/>
          <w:szCs w:val="24"/>
          <w:highlight w:val="none"/>
        </w:rPr>
      </w:pPr>
      <w:bookmarkStart w:id="29" w:name="_Toc279"/>
      <w:r>
        <w:rPr>
          <w:rFonts w:ascii="宋体" w:hAnsi="宋体" w:eastAsia="宋体" w:cs="宋体"/>
          <w:color w:val="auto"/>
          <w:spacing w:val="-1"/>
          <w:sz w:val="24"/>
          <w:szCs w:val="24"/>
          <w:highlight w:val="none"/>
        </w:rPr>
        <w:t>3.成交价格=成交供应商的报价</w:t>
      </w:r>
      <w:bookmarkEnd w:id="29"/>
    </w:p>
    <w:p w14:paraId="02A29520">
      <w:pPr>
        <w:spacing w:before="119" w:line="286" w:lineRule="auto"/>
        <w:ind w:left="1" w:right="36" w:firstLine="479"/>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4.询价小组认为供应商的报价明显低于其他通过符合性审查供应商的报价，有可能影</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响产品质量或者不能诚信履约的，应当要求其在评标现场合理的时间内提供书面说明，必</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要时提交相关证明材料；供应商不能证明其报价合理性的，询价小组应当将其作为无效响</w:t>
      </w:r>
      <w:r>
        <w:rPr>
          <w:rFonts w:ascii="宋体" w:hAnsi="宋体" w:eastAsia="宋体" w:cs="宋体"/>
          <w:color w:val="auto"/>
          <w:spacing w:val="3"/>
          <w:sz w:val="24"/>
          <w:szCs w:val="24"/>
          <w:highlight w:val="none"/>
        </w:rPr>
        <w:t xml:space="preserve"> </w:t>
      </w:r>
      <w:r>
        <w:rPr>
          <w:rFonts w:ascii="宋体" w:hAnsi="宋体" w:eastAsia="宋体" w:cs="宋体"/>
          <w:color w:val="auto"/>
          <w:spacing w:val="-3"/>
          <w:sz w:val="24"/>
          <w:szCs w:val="24"/>
          <w:highlight w:val="none"/>
        </w:rPr>
        <w:t>应处理。</w:t>
      </w:r>
    </w:p>
    <w:p w14:paraId="30FA1938">
      <w:pPr>
        <w:spacing w:before="109" w:line="290" w:lineRule="auto"/>
        <w:ind w:left="3" w:right="36" w:firstLine="482"/>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5.采取采购人确定成交供应商的，</w:t>
      </w:r>
      <w:r>
        <w:rPr>
          <w:rFonts w:hint="eastAsia" w:ascii="宋体" w:hAnsi="宋体" w:eastAsia="宋体" w:cs="宋体"/>
          <w:color w:val="auto"/>
          <w:sz w:val="24"/>
          <w:szCs w:val="24"/>
          <w:highlight w:val="none"/>
          <w:lang w:val="en-US" w:eastAsia="zh-CN"/>
        </w:rPr>
        <w:t>采购人</w:t>
      </w:r>
      <w:r>
        <w:rPr>
          <w:rFonts w:ascii="宋体" w:hAnsi="宋体" w:eastAsia="宋体" w:cs="宋体"/>
          <w:color w:val="auto"/>
          <w:sz w:val="24"/>
          <w:szCs w:val="24"/>
          <w:highlight w:val="none"/>
        </w:rPr>
        <w:t>应当在评审结束后</w:t>
      </w:r>
      <w:r>
        <w:rPr>
          <w:rFonts w:ascii="宋体" w:hAnsi="宋体" w:eastAsia="宋体" w:cs="宋体"/>
          <w:color w:val="auto"/>
          <w:spacing w:val="-35"/>
          <w:sz w:val="24"/>
          <w:szCs w:val="24"/>
          <w:highlight w:val="none"/>
        </w:rPr>
        <w:t xml:space="preserve"> </w:t>
      </w:r>
      <w:r>
        <w:rPr>
          <w:rFonts w:ascii="宋体" w:hAnsi="宋体" w:eastAsia="宋体" w:cs="宋体"/>
          <w:color w:val="auto"/>
          <w:sz w:val="24"/>
          <w:szCs w:val="24"/>
          <w:highlight w:val="none"/>
        </w:rPr>
        <w:t>2</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个工作日内确认。采购人应当在收到评审报告后</w:t>
      </w:r>
      <w:r>
        <w:rPr>
          <w:rFonts w:ascii="宋体" w:hAnsi="宋体" w:eastAsia="宋体" w:cs="宋体"/>
          <w:color w:val="auto"/>
          <w:spacing w:val="-32"/>
          <w:sz w:val="24"/>
          <w:szCs w:val="24"/>
          <w:highlight w:val="none"/>
        </w:rPr>
        <w:t xml:space="preserve"> </w:t>
      </w:r>
      <w:r>
        <w:rPr>
          <w:rFonts w:ascii="宋体" w:hAnsi="宋体" w:eastAsia="宋体" w:cs="宋体"/>
          <w:color w:val="auto"/>
          <w:sz w:val="24"/>
          <w:szCs w:val="24"/>
          <w:highlight w:val="none"/>
        </w:rPr>
        <w:t>5</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 xml:space="preserve">个工作日内，从评审报告提出的成 </w:t>
      </w:r>
      <w:r>
        <w:rPr>
          <w:rFonts w:ascii="宋体" w:hAnsi="宋体" w:eastAsia="宋体" w:cs="宋体"/>
          <w:color w:val="auto"/>
          <w:spacing w:val="1"/>
          <w:sz w:val="24"/>
          <w:szCs w:val="24"/>
          <w:highlight w:val="none"/>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color w:val="auto"/>
          <w:sz w:val="24"/>
          <w:szCs w:val="24"/>
          <w:highlight w:val="none"/>
        </w:rPr>
        <w:t>后报价最低的供应商为成交供应商。采购人也可以授权询</w:t>
      </w:r>
      <w:r>
        <w:rPr>
          <w:rFonts w:ascii="宋体" w:hAnsi="宋体" w:eastAsia="宋体" w:cs="宋体"/>
          <w:color w:val="auto"/>
          <w:spacing w:val="-1"/>
          <w:sz w:val="24"/>
          <w:szCs w:val="24"/>
          <w:highlight w:val="none"/>
        </w:rPr>
        <w:t>价小组直接确定成交供应商。</w:t>
      </w:r>
    </w:p>
    <w:p w14:paraId="47070403">
      <w:pPr>
        <w:spacing w:before="117" w:line="219" w:lineRule="auto"/>
        <w:ind w:left="483"/>
        <w:outlineLvl w:val="9"/>
        <w:rPr>
          <w:rFonts w:ascii="宋体" w:hAnsi="宋体" w:eastAsia="宋体" w:cs="宋体"/>
          <w:color w:val="auto"/>
          <w:sz w:val="24"/>
          <w:szCs w:val="24"/>
          <w:highlight w:val="none"/>
        </w:rPr>
      </w:pPr>
      <w:bookmarkStart w:id="30" w:name="_Toc17460"/>
      <w:r>
        <w:rPr>
          <w:rFonts w:ascii="宋体" w:hAnsi="宋体" w:eastAsia="宋体" w:cs="宋体"/>
          <w:color w:val="auto"/>
          <w:spacing w:val="-2"/>
          <w:sz w:val="24"/>
          <w:szCs w:val="24"/>
          <w:highlight w:val="none"/>
        </w:rPr>
        <w:t>6.成交供应商的变更</w:t>
      </w:r>
      <w:bookmarkEnd w:id="30"/>
    </w:p>
    <w:p w14:paraId="0355EE44">
      <w:pPr>
        <w:spacing w:before="116" w:line="278" w:lineRule="auto"/>
        <w:ind w:left="1" w:right="36" w:firstLine="481"/>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成交供应商拒绝与采购人签订合同的，采购人可以按照评审报告推荐的成交候选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供应商顺序，确定排名下一位的候选人为成交供应商，也可以重新开展采购活动。拒绝签</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订采购合同的成交供应商不得参加对该项目重新开展的采购活动。</w:t>
      </w:r>
    </w:p>
    <w:p w14:paraId="0D2D8C76">
      <w:pPr>
        <w:spacing w:before="116" w:line="263" w:lineRule="auto"/>
        <w:ind w:left="2" w:right="36" w:firstLine="48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采购人违法改变成交结果，或者成交供应商无正当理由放弃成交项目的，应当依</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法承担法律责任。</w:t>
      </w:r>
    </w:p>
    <w:p w14:paraId="43819364">
      <w:pPr>
        <w:spacing w:line="263" w:lineRule="auto"/>
        <w:outlineLvl w:val="9"/>
        <w:rPr>
          <w:rFonts w:ascii="宋体" w:hAnsi="宋体" w:eastAsia="宋体" w:cs="宋体"/>
          <w:color w:val="auto"/>
          <w:sz w:val="24"/>
          <w:szCs w:val="24"/>
          <w:highlight w:val="none"/>
        </w:rPr>
        <w:sectPr>
          <w:footerReference r:id="rId12" w:type="default"/>
          <w:pgSz w:w="11907" w:h="16840"/>
          <w:pgMar w:top="1323" w:right="1154" w:bottom="1221" w:left="1310" w:header="0" w:footer="853" w:gutter="0"/>
          <w:pgNumType w:fmt="decimal"/>
          <w:cols w:space="720" w:num="1"/>
          <w:titlePg/>
        </w:sectPr>
      </w:pPr>
    </w:p>
    <w:p w14:paraId="30EC960B">
      <w:pPr>
        <w:spacing w:before="53" w:line="242" w:lineRule="auto"/>
        <w:ind w:left="483"/>
        <w:outlineLvl w:val="9"/>
        <w:rPr>
          <w:rFonts w:ascii="黑体" w:hAnsi="黑体" w:eastAsia="黑体" w:cs="黑体"/>
          <w:color w:val="auto"/>
          <w:sz w:val="24"/>
          <w:szCs w:val="24"/>
          <w:highlight w:val="none"/>
        </w:rPr>
      </w:pPr>
      <w:bookmarkStart w:id="31" w:name="bookmark30"/>
      <w:bookmarkEnd w:id="31"/>
      <w:r>
        <w:rPr>
          <w:rFonts w:ascii="黑体" w:hAnsi="黑体" w:eastAsia="黑体" w:cs="黑体"/>
          <w:color w:val="auto"/>
          <w:spacing w:val="-3"/>
          <w:sz w:val="24"/>
          <w:szCs w:val="24"/>
          <w:highlight w:val="none"/>
        </w:rPr>
        <w:t>五、评审依据</w:t>
      </w:r>
    </w:p>
    <w:p w14:paraId="68B82D01">
      <w:pPr>
        <w:spacing w:before="92" w:line="305" w:lineRule="auto"/>
        <w:ind w:right="99" w:firstLine="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评审的依据为询价通知书和响应文件（含有效的补充文件）。询价小组判断响应文件</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对询价通知书的响应，仅基于响应文件本身而不靠外部证据。</w:t>
      </w:r>
    </w:p>
    <w:p w14:paraId="6346D427">
      <w:pPr>
        <w:spacing w:line="242" w:lineRule="auto"/>
        <w:ind w:left="485"/>
        <w:outlineLvl w:val="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六、成交通知</w:t>
      </w:r>
    </w:p>
    <w:p w14:paraId="0F204BA5">
      <w:pPr>
        <w:spacing w:before="92" w:line="219" w:lineRule="auto"/>
        <w:ind w:left="37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（一）成交供应商确定后</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2</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个工作日内，</w:t>
      </w:r>
      <w:r>
        <w:rPr>
          <w:rFonts w:hint="eastAsia" w:ascii="宋体" w:hAnsi="宋体" w:eastAsia="宋体" w:cs="宋体"/>
          <w:color w:val="auto"/>
          <w:spacing w:val="-1"/>
          <w:sz w:val="24"/>
          <w:szCs w:val="24"/>
          <w:highlight w:val="none"/>
          <w:lang w:val="en-US" w:eastAsia="zh-CN"/>
        </w:rPr>
        <w:t>采购人</w:t>
      </w:r>
      <w:r>
        <w:rPr>
          <w:rFonts w:ascii="宋体" w:hAnsi="宋体" w:eastAsia="宋体" w:cs="宋体"/>
          <w:color w:val="auto"/>
          <w:spacing w:val="-2"/>
          <w:sz w:val="24"/>
          <w:szCs w:val="24"/>
          <w:highlight w:val="none"/>
        </w:rPr>
        <w:t>发布成交结果公告。</w:t>
      </w:r>
    </w:p>
    <w:p w14:paraId="16D0B9A4">
      <w:pPr>
        <w:spacing w:before="116" w:line="264" w:lineRule="auto"/>
        <w:ind w:left="5" w:right="99" w:firstLine="366"/>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（二）结果公告期结束后，</w:t>
      </w:r>
      <w:r>
        <w:rPr>
          <w:rFonts w:hint="eastAsia" w:ascii="宋体" w:hAnsi="宋体" w:eastAsia="宋体" w:cs="宋体"/>
          <w:color w:val="auto"/>
          <w:spacing w:val="-2"/>
          <w:sz w:val="24"/>
          <w:szCs w:val="24"/>
          <w:highlight w:val="none"/>
          <w:lang w:val="en-US" w:eastAsia="zh-CN"/>
        </w:rPr>
        <w:t>采购人</w:t>
      </w:r>
      <w:r>
        <w:rPr>
          <w:rFonts w:ascii="宋体" w:hAnsi="宋体" w:eastAsia="宋体" w:cs="宋体"/>
          <w:color w:val="auto"/>
          <w:spacing w:val="-2"/>
          <w:sz w:val="24"/>
          <w:szCs w:val="24"/>
          <w:highlight w:val="none"/>
        </w:rPr>
        <w:t>将以书面形式</w:t>
      </w:r>
      <w:r>
        <w:rPr>
          <w:rFonts w:ascii="宋体" w:hAnsi="宋体" w:eastAsia="宋体" w:cs="宋体"/>
          <w:color w:val="auto"/>
          <w:spacing w:val="-3"/>
          <w:sz w:val="24"/>
          <w:szCs w:val="24"/>
          <w:highlight w:val="none"/>
        </w:rPr>
        <w:t>发出《成交通知书》。《成交通</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知书》一经发出即发生法律效力。</w:t>
      </w:r>
    </w:p>
    <w:p w14:paraId="539197F6">
      <w:pPr>
        <w:spacing w:before="113" w:line="219" w:lineRule="auto"/>
        <w:ind w:left="372"/>
        <w:outlineLvl w:val="9"/>
        <w:rPr>
          <w:rFonts w:ascii="宋体" w:hAnsi="宋体" w:eastAsia="宋体" w:cs="宋体"/>
          <w:color w:val="auto"/>
          <w:sz w:val="24"/>
          <w:szCs w:val="24"/>
          <w:highlight w:val="none"/>
        </w:rPr>
      </w:pPr>
      <w:bookmarkStart w:id="32" w:name="_Toc24804"/>
      <w:r>
        <w:rPr>
          <w:rFonts w:ascii="宋体" w:hAnsi="宋体" w:eastAsia="宋体" w:cs="宋体"/>
          <w:color w:val="auto"/>
          <w:spacing w:val="-1"/>
          <w:sz w:val="24"/>
          <w:szCs w:val="24"/>
          <w:highlight w:val="none"/>
        </w:rPr>
        <w:t>（三）《成交通知书》将作为签订合同的依据。</w:t>
      </w:r>
      <w:bookmarkEnd w:id="32"/>
    </w:p>
    <w:p w14:paraId="29688169">
      <w:pPr>
        <w:spacing w:before="116" w:line="219" w:lineRule="auto"/>
        <w:ind w:left="37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（四）如有供应商对成交结果提出质疑的，在质疑处理完毕后发出成交通知书。</w:t>
      </w:r>
    </w:p>
    <w:p w14:paraId="10643D43">
      <w:pPr>
        <w:spacing w:before="107"/>
        <w:ind w:left="481"/>
        <w:outlineLvl w:val="9"/>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七、关于询问、质疑和投诉</w:t>
      </w:r>
    </w:p>
    <w:p w14:paraId="5894DEFC">
      <w:pPr>
        <w:spacing w:before="95" w:line="192" w:lineRule="auto"/>
        <w:ind w:left="466"/>
        <w:outlineLvl w:val="9"/>
        <w:rPr>
          <w:rFonts w:ascii="微软雅黑" w:hAnsi="微软雅黑" w:eastAsia="微软雅黑" w:cs="微软雅黑"/>
          <w:color w:val="auto"/>
          <w:sz w:val="24"/>
          <w:szCs w:val="24"/>
          <w:highlight w:val="none"/>
        </w:rPr>
      </w:pPr>
      <w:bookmarkStart w:id="33" w:name="_Toc17728"/>
      <w:r>
        <w:rPr>
          <w:rFonts w:ascii="微软雅黑" w:hAnsi="微软雅黑" w:eastAsia="微软雅黑" w:cs="微软雅黑"/>
          <w:color w:val="auto"/>
          <w:spacing w:val="1"/>
          <w:sz w:val="24"/>
          <w:szCs w:val="24"/>
          <w:highlight w:val="none"/>
        </w:rPr>
        <w:t>（一）询问</w:t>
      </w:r>
      <w:bookmarkEnd w:id="33"/>
    </w:p>
    <w:p w14:paraId="4A339896">
      <w:pPr>
        <w:spacing w:before="72" w:line="307" w:lineRule="auto"/>
        <w:ind w:right="99" w:firstLine="479"/>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采购人应当在</w:t>
      </w:r>
      <w:r>
        <w:rPr>
          <w:rFonts w:ascii="宋体" w:hAnsi="宋体" w:eastAsia="宋体" w:cs="宋体"/>
          <w:color w:val="auto"/>
          <w:spacing w:val="-27"/>
          <w:sz w:val="24"/>
          <w:szCs w:val="24"/>
          <w:highlight w:val="none"/>
        </w:rPr>
        <w:t xml:space="preserve"> </w:t>
      </w:r>
      <w:r>
        <w:rPr>
          <w:rFonts w:ascii="宋体" w:hAnsi="宋体" w:eastAsia="宋体" w:cs="宋体"/>
          <w:color w:val="auto"/>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z w:val="24"/>
          <w:szCs w:val="24"/>
          <w:highlight w:val="none"/>
        </w:rPr>
        <w:t xml:space="preserve">个工作日内对供应商依法提出的询问作出答复。供 </w:t>
      </w:r>
      <w:r>
        <w:rPr>
          <w:rFonts w:ascii="宋体" w:hAnsi="宋体" w:eastAsia="宋体" w:cs="宋体"/>
          <w:color w:val="auto"/>
          <w:spacing w:val="-1"/>
          <w:sz w:val="24"/>
          <w:szCs w:val="24"/>
          <w:highlight w:val="none"/>
        </w:rPr>
        <w:t>应商询问可以是口头或书面形式。</w:t>
      </w:r>
    </w:p>
    <w:p w14:paraId="76517E88">
      <w:pPr>
        <w:spacing w:line="192" w:lineRule="auto"/>
        <w:ind w:left="466"/>
        <w:outlineLvl w:val="9"/>
        <w:rPr>
          <w:rFonts w:ascii="微软雅黑" w:hAnsi="微软雅黑" w:eastAsia="微软雅黑" w:cs="微软雅黑"/>
          <w:color w:val="auto"/>
          <w:sz w:val="24"/>
          <w:szCs w:val="24"/>
          <w:highlight w:val="none"/>
        </w:rPr>
      </w:pPr>
      <w:bookmarkStart w:id="34" w:name="_Toc23791"/>
      <w:r>
        <w:rPr>
          <w:rFonts w:ascii="微软雅黑" w:hAnsi="微软雅黑" w:eastAsia="微软雅黑" w:cs="微软雅黑"/>
          <w:color w:val="auto"/>
          <w:spacing w:val="-10"/>
          <w:sz w:val="24"/>
          <w:szCs w:val="24"/>
          <w:highlight w:val="none"/>
        </w:rPr>
        <w:t>（</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0"/>
          <w:sz w:val="24"/>
          <w:szCs w:val="24"/>
          <w:highlight w:val="none"/>
        </w:rPr>
        <w:t>二</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0"/>
          <w:sz w:val="24"/>
          <w:szCs w:val="24"/>
          <w:highlight w:val="none"/>
        </w:rPr>
        <w:t>）质疑内容、时限</w:t>
      </w:r>
      <w:bookmarkEnd w:id="34"/>
    </w:p>
    <w:p w14:paraId="3200D756">
      <w:pPr>
        <w:spacing w:before="72" w:line="221" w:lineRule="auto"/>
        <w:ind w:left="498"/>
        <w:outlineLvl w:val="9"/>
        <w:rPr>
          <w:rFonts w:ascii="宋体" w:hAnsi="宋体" w:eastAsia="宋体" w:cs="宋体"/>
          <w:color w:val="auto"/>
          <w:sz w:val="24"/>
          <w:szCs w:val="24"/>
          <w:highlight w:val="none"/>
        </w:rPr>
      </w:pPr>
      <w:bookmarkStart w:id="35" w:name="_Toc12827"/>
      <w:r>
        <w:rPr>
          <w:rFonts w:ascii="宋体" w:hAnsi="宋体" w:eastAsia="宋体" w:cs="宋体"/>
          <w:color w:val="auto"/>
          <w:spacing w:val="-5"/>
          <w:sz w:val="24"/>
          <w:szCs w:val="24"/>
          <w:highlight w:val="none"/>
        </w:rPr>
        <w:t>1.质疑提出</w:t>
      </w:r>
      <w:bookmarkEnd w:id="35"/>
    </w:p>
    <w:p w14:paraId="49D4B4B3">
      <w:pPr>
        <w:spacing w:before="115" w:line="307" w:lineRule="auto"/>
        <w:ind w:right="35" w:firstLine="480"/>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提出质疑的供应商应当是参与所质疑项目采购活动的供应商。潜在供应商提出质疑前，</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应依法获取其可质疑的采购文件。</w:t>
      </w:r>
    </w:p>
    <w:p w14:paraId="038A4B0A">
      <w:pPr>
        <w:spacing w:line="220" w:lineRule="auto"/>
        <w:ind w:left="483"/>
        <w:outlineLvl w:val="9"/>
        <w:rPr>
          <w:rFonts w:ascii="宋体" w:hAnsi="宋体" w:eastAsia="宋体" w:cs="宋体"/>
          <w:color w:val="auto"/>
          <w:sz w:val="24"/>
          <w:szCs w:val="24"/>
          <w:highlight w:val="none"/>
        </w:rPr>
      </w:pPr>
      <w:bookmarkStart w:id="36" w:name="_Toc18527"/>
      <w:r>
        <w:rPr>
          <w:rFonts w:ascii="宋体" w:hAnsi="宋体" w:eastAsia="宋体" w:cs="宋体"/>
          <w:color w:val="auto"/>
          <w:spacing w:val="-2"/>
          <w:sz w:val="24"/>
          <w:szCs w:val="24"/>
          <w:highlight w:val="none"/>
        </w:rPr>
        <w:t>2.质疑时限、内容</w:t>
      </w:r>
      <w:bookmarkEnd w:id="36"/>
    </w:p>
    <w:p w14:paraId="19905B2E">
      <w:pPr>
        <w:spacing w:before="114" w:line="263" w:lineRule="auto"/>
        <w:ind w:left="2" w:right="99" w:firstLine="48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供应商认为采购文件、采购过程和成交结果使自己的权益受到伤害的，可向采购</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人以书面形式提出质疑。</w:t>
      </w:r>
    </w:p>
    <w:p w14:paraId="55258869">
      <w:pPr>
        <w:spacing w:before="116" w:line="278" w:lineRule="auto"/>
        <w:ind w:left="1" w:right="99" w:firstLine="481"/>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供应商对询价文件提出质疑的，应在询价文件公布之日起三个工作日内，一次性</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提出针对询价文件的所有质疑（注：质疑特定资格条件、技术质量和商务要求、评审标准</w:t>
      </w:r>
      <w:r>
        <w:rPr>
          <w:rFonts w:ascii="宋体" w:hAnsi="宋体" w:eastAsia="宋体" w:cs="宋体"/>
          <w:color w:val="auto"/>
          <w:sz w:val="24"/>
          <w:szCs w:val="24"/>
          <w:highlight w:val="none"/>
        </w:rPr>
        <w:t xml:space="preserve"> 有异议的，应主要向采购人提出质疑，其他问题可向</w:t>
      </w:r>
      <w:r>
        <w:rPr>
          <w:rFonts w:ascii="宋体" w:hAnsi="宋体" w:eastAsia="宋体" w:cs="宋体"/>
          <w:color w:val="auto"/>
          <w:spacing w:val="-1"/>
          <w:sz w:val="24"/>
          <w:szCs w:val="24"/>
          <w:highlight w:val="none"/>
        </w:rPr>
        <w:t>采购</w:t>
      </w:r>
      <w:r>
        <w:rPr>
          <w:rFonts w:hint="eastAsia" w:ascii="宋体" w:hAnsi="宋体" w:eastAsia="宋体" w:cs="宋体"/>
          <w:color w:val="auto"/>
          <w:spacing w:val="-1"/>
          <w:sz w:val="24"/>
          <w:szCs w:val="24"/>
          <w:highlight w:val="none"/>
          <w:lang w:eastAsia="zh-CN"/>
        </w:rPr>
        <w:t>人</w:t>
      </w:r>
      <w:r>
        <w:rPr>
          <w:rFonts w:ascii="宋体" w:hAnsi="宋体" w:eastAsia="宋体" w:cs="宋体"/>
          <w:color w:val="auto"/>
          <w:spacing w:val="-1"/>
          <w:sz w:val="24"/>
          <w:szCs w:val="24"/>
          <w:highlight w:val="none"/>
        </w:rPr>
        <w:t>提出质疑）。</w:t>
      </w:r>
    </w:p>
    <w:p w14:paraId="594AC30A">
      <w:pPr>
        <w:spacing w:before="115" w:line="264" w:lineRule="auto"/>
        <w:ind w:left="4" w:right="155" w:firstLine="479"/>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2.3 供应商对采购过程提出质疑的，应在各</w:t>
      </w:r>
      <w:r>
        <w:rPr>
          <w:rFonts w:ascii="宋体" w:hAnsi="宋体" w:eastAsia="宋体" w:cs="宋体"/>
          <w:color w:val="auto"/>
          <w:spacing w:val="-1"/>
          <w:sz w:val="24"/>
          <w:szCs w:val="24"/>
          <w:highlight w:val="none"/>
        </w:rPr>
        <w:t>采购程序环节结束之日起七个工作日内，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一次性提出针对同一采购程序环节的所有质疑。</w:t>
      </w:r>
    </w:p>
    <w:p w14:paraId="6D298C60">
      <w:pPr>
        <w:spacing w:before="114" w:line="264" w:lineRule="auto"/>
        <w:ind w:left="30" w:right="99" w:firstLine="453"/>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2.4</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供应商对成交结果提出质疑的，应当在成交结果公告期限届满之日起七个工作日</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内，一次性提出针对成交结果的所有质疑。</w:t>
      </w:r>
    </w:p>
    <w:p w14:paraId="26F85309">
      <w:pPr>
        <w:spacing w:before="115"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供应商提出质疑应当提交质疑函和必要的证明材料，质疑函应当包括下列内容：</w:t>
      </w:r>
    </w:p>
    <w:p w14:paraId="0E0F70F0">
      <w:pPr>
        <w:spacing w:before="114"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2.5.1</w:t>
      </w:r>
      <w:r>
        <w:rPr>
          <w:rFonts w:ascii="宋体" w:hAnsi="宋体" w:eastAsia="宋体" w:cs="宋体"/>
          <w:color w:val="auto"/>
          <w:spacing w:val="-40"/>
          <w:sz w:val="24"/>
          <w:szCs w:val="24"/>
          <w:highlight w:val="none"/>
        </w:rPr>
        <w:t xml:space="preserve"> </w:t>
      </w:r>
      <w:r>
        <w:rPr>
          <w:rFonts w:ascii="宋体" w:hAnsi="宋体" w:eastAsia="宋体" w:cs="宋体"/>
          <w:color w:val="auto"/>
          <w:spacing w:val="-1"/>
          <w:sz w:val="24"/>
          <w:szCs w:val="24"/>
          <w:highlight w:val="none"/>
        </w:rPr>
        <w:t>供应商的姓名或者名称、地址、邮编、联系人、联系电话及邮箱；</w:t>
      </w:r>
    </w:p>
    <w:p w14:paraId="14C7DF08">
      <w:pPr>
        <w:spacing w:before="115"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2.5.2</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质疑项目的名称、项目号以及询价项目编号；</w:t>
      </w:r>
    </w:p>
    <w:p w14:paraId="7020EE70">
      <w:pPr>
        <w:spacing w:before="117" w:line="220" w:lineRule="auto"/>
        <w:ind w:left="48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2.5.3</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具体、明确的质疑事项和与质疑事项相关的请求；</w:t>
      </w:r>
    </w:p>
    <w:p w14:paraId="42DD1C23">
      <w:pPr>
        <w:spacing w:before="112"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2.5.4</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事实依据；</w:t>
      </w:r>
    </w:p>
    <w:p w14:paraId="725986E9">
      <w:pPr>
        <w:spacing w:before="117" w:line="219" w:lineRule="auto"/>
        <w:ind w:left="483"/>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2.5.5</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必要的法律依据和证明材料；</w:t>
      </w:r>
    </w:p>
    <w:p w14:paraId="5F5A6A2D">
      <w:pPr>
        <w:spacing w:before="115" w:line="221" w:lineRule="auto"/>
        <w:ind w:left="483"/>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2.5.6</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提出质疑的日期；</w:t>
      </w:r>
    </w:p>
    <w:p w14:paraId="2438862B">
      <w:pPr>
        <w:spacing w:before="112" w:line="219" w:lineRule="auto"/>
        <w:jc w:val="right"/>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2.5.7</w:t>
      </w:r>
      <w:r>
        <w:rPr>
          <w:rFonts w:ascii="宋体" w:hAnsi="宋体" w:eastAsia="宋体" w:cs="宋体"/>
          <w:color w:val="auto"/>
          <w:spacing w:val="-43"/>
          <w:sz w:val="24"/>
          <w:szCs w:val="24"/>
          <w:highlight w:val="none"/>
        </w:rPr>
        <w:t xml:space="preserve"> </w:t>
      </w:r>
      <w:r>
        <w:rPr>
          <w:rFonts w:ascii="宋体" w:hAnsi="宋体" w:eastAsia="宋体" w:cs="宋体"/>
          <w:color w:val="auto"/>
          <w:spacing w:val="-1"/>
          <w:sz w:val="24"/>
          <w:szCs w:val="24"/>
          <w:highlight w:val="none"/>
        </w:rPr>
        <w:t>营业执照（或事业单位法人证书，或</w:t>
      </w:r>
      <w:r>
        <w:rPr>
          <w:rFonts w:ascii="宋体" w:hAnsi="宋体" w:eastAsia="宋体" w:cs="宋体"/>
          <w:color w:val="auto"/>
          <w:spacing w:val="-2"/>
          <w:sz w:val="24"/>
          <w:szCs w:val="24"/>
          <w:highlight w:val="none"/>
        </w:rPr>
        <w:t>有效的自然人身份证明、组织机构代码证）</w:t>
      </w:r>
    </w:p>
    <w:p w14:paraId="00B68DF9">
      <w:pPr>
        <w:spacing w:line="219" w:lineRule="auto"/>
        <w:outlineLvl w:val="9"/>
        <w:rPr>
          <w:rFonts w:ascii="宋体" w:hAnsi="宋体" w:eastAsia="宋体" w:cs="宋体"/>
          <w:color w:val="auto"/>
          <w:sz w:val="24"/>
          <w:szCs w:val="24"/>
          <w:highlight w:val="none"/>
        </w:rPr>
        <w:sectPr>
          <w:footerReference r:id="rId13" w:type="default"/>
          <w:pgSz w:w="11907" w:h="16840"/>
          <w:pgMar w:top="1308" w:right="1091" w:bottom="1221" w:left="1311" w:header="0" w:footer="853" w:gutter="0"/>
          <w:pgNumType w:fmt="decimal"/>
          <w:cols w:space="720" w:num="1"/>
        </w:sectPr>
      </w:pPr>
    </w:p>
    <w:p w14:paraId="29532E56">
      <w:pPr>
        <w:spacing w:before="48" w:line="219" w:lineRule="auto"/>
        <w:ind w:left="8"/>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复印件加盖供应商公章；</w:t>
      </w:r>
    </w:p>
    <w:p w14:paraId="61D265DD">
      <w:pPr>
        <w:spacing w:before="114" w:line="308" w:lineRule="auto"/>
        <w:ind w:left="8" w:right="81" w:firstLine="476"/>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2.5.8</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法定代表人授权委托书原件、法定代表人身份证复印件和其授权代表的身份证</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复印件（供应商为自然人的提供自然人身份证复印件</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加盖供应商公章；</w:t>
      </w:r>
    </w:p>
    <w:p w14:paraId="5A16F033">
      <w:pPr>
        <w:spacing w:line="307" w:lineRule="auto"/>
        <w:ind w:left="4" w:firstLine="48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2.6</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供应商为自然人的，质疑函应当由本人签字；供应商为法人或者其他组织的，质</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疑函应当由法定代表人、主要负责人，或者其授权代表签字或者盖章，并加盖供应商公章。</w:t>
      </w:r>
    </w:p>
    <w:p w14:paraId="281A9669">
      <w:pPr>
        <w:spacing w:line="220" w:lineRule="auto"/>
        <w:ind w:left="486"/>
        <w:outlineLvl w:val="9"/>
        <w:rPr>
          <w:rFonts w:ascii="宋体" w:hAnsi="宋体" w:eastAsia="宋体" w:cs="宋体"/>
          <w:color w:val="auto"/>
          <w:sz w:val="24"/>
          <w:szCs w:val="24"/>
          <w:highlight w:val="none"/>
        </w:rPr>
      </w:pPr>
      <w:bookmarkStart w:id="37" w:name="_Toc17642"/>
      <w:r>
        <w:rPr>
          <w:rFonts w:ascii="宋体" w:hAnsi="宋体" w:eastAsia="宋体" w:cs="宋体"/>
          <w:color w:val="auto"/>
          <w:spacing w:val="-3"/>
          <w:sz w:val="24"/>
          <w:szCs w:val="24"/>
          <w:highlight w:val="none"/>
        </w:rPr>
        <w:t>3.质疑函格式</w:t>
      </w:r>
      <w:bookmarkEnd w:id="37"/>
    </w:p>
    <w:p w14:paraId="5E89F767">
      <w:pPr>
        <w:spacing w:before="115" w:line="307" w:lineRule="auto"/>
        <w:ind w:left="2" w:right="81" w:firstLine="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质疑函（投诉书）范本可在财政部门户网站、中国政府采购网、重庆市政府采购网下</w:t>
      </w:r>
      <w:r>
        <w:rPr>
          <w:rFonts w:ascii="宋体" w:hAnsi="宋体" w:eastAsia="宋体" w:cs="宋体"/>
          <w:color w:val="auto"/>
          <w:spacing w:val="4"/>
          <w:sz w:val="24"/>
          <w:szCs w:val="24"/>
          <w:highlight w:val="none"/>
        </w:rPr>
        <w:t xml:space="preserve"> </w:t>
      </w:r>
      <w:r>
        <w:rPr>
          <w:rFonts w:ascii="宋体" w:hAnsi="宋体" w:eastAsia="宋体" w:cs="宋体"/>
          <w:color w:val="auto"/>
          <w:spacing w:val="-6"/>
          <w:sz w:val="24"/>
          <w:szCs w:val="24"/>
          <w:highlight w:val="none"/>
        </w:rPr>
        <w:t>载。</w:t>
      </w:r>
    </w:p>
    <w:p w14:paraId="257CE2EF">
      <w:pPr>
        <w:spacing w:line="220" w:lineRule="auto"/>
        <w:ind w:left="480"/>
        <w:outlineLvl w:val="9"/>
        <w:rPr>
          <w:rFonts w:ascii="宋体" w:hAnsi="宋体" w:eastAsia="宋体" w:cs="宋体"/>
          <w:color w:val="auto"/>
          <w:sz w:val="24"/>
          <w:szCs w:val="24"/>
          <w:highlight w:val="none"/>
        </w:rPr>
      </w:pPr>
      <w:bookmarkStart w:id="38" w:name="_Toc20278"/>
      <w:r>
        <w:rPr>
          <w:rFonts w:ascii="宋体" w:hAnsi="宋体" w:eastAsia="宋体" w:cs="宋体"/>
          <w:color w:val="auto"/>
          <w:spacing w:val="-1"/>
          <w:sz w:val="24"/>
          <w:szCs w:val="24"/>
          <w:highlight w:val="none"/>
        </w:rPr>
        <w:t>4.质疑函接收方式</w:t>
      </w:r>
      <w:bookmarkEnd w:id="38"/>
    </w:p>
    <w:p w14:paraId="7F151EE6">
      <w:pPr>
        <w:spacing w:before="116" w:line="307" w:lineRule="auto"/>
        <w:ind w:right="81" w:firstLine="481"/>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质疑人应将质疑函（原件一式三份）送达或邮递至采购人，不符合要求的质疑函恕不</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接收。接收质疑的联系电话、联系方式等见第一篇。</w:t>
      </w:r>
    </w:p>
    <w:p w14:paraId="79EFF224">
      <w:pPr>
        <w:spacing w:before="1" w:line="220" w:lineRule="auto"/>
        <w:ind w:left="486"/>
        <w:outlineLvl w:val="9"/>
        <w:rPr>
          <w:rFonts w:ascii="宋体" w:hAnsi="宋体" w:eastAsia="宋体" w:cs="宋体"/>
          <w:color w:val="auto"/>
          <w:sz w:val="24"/>
          <w:szCs w:val="24"/>
          <w:highlight w:val="none"/>
        </w:rPr>
      </w:pPr>
      <w:bookmarkStart w:id="39" w:name="_Toc14014"/>
      <w:r>
        <w:rPr>
          <w:rFonts w:ascii="宋体" w:hAnsi="宋体" w:eastAsia="宋体" w:cs="宋体"/>
          <w:color w:val="auto"/>
          <w:spacing w:val="-3"/>
          <w:sz w:val="24"/>
          <w:szCs w:val="24"/>
          <w:highlight w:val="none"/>
        </w:rPr>
        <w:t>5.质疑答复</w:t>
      </w:r>
      <w:bookmarkEnd w:id="39"/>
    </w:p>
    <w:p w14:paraId="39F4CCB6">
      <w:pPr>
        <w:spacing w:before="114" w:line="307" w:lineRule="auto"/>
        <w:ind w:left="29" w:right="81" w:firstLine="451"/>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采购人应当在收到供应商的书面质疑函后五个工作日内作出答复，并</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以书面形式通知质疑供应商和其他有关供应商。</w:t>
      </w:r>
    </w:p>
    <w:p w14:paraId="02C66BCA">
      <w:pPr>
        <w:spacing w:line="192" w:lineRule="auto"/>
        <w:ind w:left="467"/>
        <w:outlineLvl w:val="9"/>
        <w:rPr>
          <w:rFonts w:ascii="微软雅黑" w:hAnsi="微软雅黑" w:eastAsia="微软雅黑" w:cs="微软雅黑"/>
          <w:color w:val="auto"/>
          <w:sz w:val="24"/>
          <w:szCs w:val="24"/>
          <w:highlight w:val="none"/>
        </w:rPr>
      </w:pPr>
      <w:bookmarkStart w:id="40" w:name="_Toc6735"/>
      <w:r>
        <w:rPr>
          <w:rFonts w:ascii="微软雅黑" w:hAnsi="微软雅黑" w:eastAsia="微软雅黑" w:cs="微软雅黑"/>
          <w:color w:val="auto"/>
          <w:spacing w:val="-20"/>
          <w:sz w:val="24"/>
          <w:szCs w:val="24"/>
          <w:highlight w:val="none"/>
        </w:rPr>
        <w:t>（</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20"/>
          <w:sz w:val="24"/>
          <w:szCs w:val="24"/>
          <w:highlight w:val="none"/>
        </w:rPr>
        <w:t>三</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20"/>
          <w:sz w:val="24"/>
          <w:szCs w:val="24"/>
          <w:highlight w:val="none"/>
        </w:rPr>
        <w:t>）投诉</w:t>
      </w:r>
      <w:bookmarkEnd w:id="40"/>
    </w:p>
    <w:p w14:paraId="775BA9C9">
      <w:pPr>
        <w:spacing w:before="70" w:line="279" w:lineRule="auto"/>
        <w:ind w:left="4" w:right="81" w:firstLine="494"/>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1.供应商对采购人的答复不满意，或</w:t>
      </w:r>
      <w:r>
        <w:rPr>
          <w:rFonts w:ascii="宋体" w:hAnsi="宋体" w:eastAsia="宋体" w:cs="宋体"/>
          <w:color w:val="auto"/>
          <w:sz w:val="24"/>
          <w:szCs w:val="24"/>
          <w:highlight w:val="none"/>
        </w:rPr>
        <w:t>者采购人未在规</w:t>
      </w:r>
      <w:r>
        <w:rPr>
          <w:rFonts w:ascii="宋体" w:hAnsi="宋体" w:eastAsia="宋体" w:cs="宋体"/>
          <w:color w:val="auto"/>
          <w:spacing w:val="-3"/>
          <w:sz w:val="24"/>
          <w:szCs w:val="24"/>
          <w:highlight w:val="none"/>
        </w:rPr>
        <w:t>定时间内作出答复的，可以在答复期满后</w:t>
      </w:r>
      <w:r>
        <w:rPr>
          <w:rFonts w:ascii="宋体" w:hAnsi="宋体" w:eastAsia="宋体" w:cs="宋体"/>
          <w:color w:val="auto"/>
          <w:spacing w:val="-30"/>
          <w:sz w:val="24"/>
          <w:szCs w:val="24"/>
          <w:highlight w:val="none"/>
        </w:rPr>
        <w:t xml:space="preserve"> </w:t>
      </w:r>
      <w:r>
        <w:rPr>
          <w:rFonts w:ascii="宋体" w:hAnsi="宋体" w:eastAsia="宋体" w:cs="宋体"/>
          <w:color w:val="auto"/>
          <w:spacing w:val="-3"/>
          <w:sz w:val="24"/>
          <w:szCs w:val="24"/>
          <w:highlight w:val="none"/>
        </w:rPr>
        <w:t>15</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个工作日内按照相关法律法规向财政部门提起</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投诉。</w:t>
      </w:r>
    </w:p>
    <w:p w14:paraId="17422017">
      <w:pPr>
        <w:spacing w:before="114" w:line="263" w:lineRule="auto"/>
        <w:ind w:left="3" w:firstLine="48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2.供应商应按照《政府采购质疑和投诉办法》（财政部令第94</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号）及相关法律法规要</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求递交投诉书和必要的证明材料。投诉书范本可在财政部门户网站和中国政府采购网下载。</w:t>
      </w:r>
    </w:p>
    <w:p w14:paraId="6AED64A8">
      <w:pPr>
        <w:spacing w:before="115" w:line="293" w:lineRule="auto"/>
        <w:ind w:right="81" w:firstLine="485"/>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3.投诉书应当使用中文，相关当事人提供外文书证或者外国语视听资料的，应当附有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中文译本，由翻译机构盖章或者翻译人员签名；相关当事人向财政部门提供的在中华人民</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共和国领域外形成的证据，应当说明来源，经所在国公证机关证明，并经中华人民共和国</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驻该国使领馆认证，或者履行中华人民共和国与证据所在国订立的有关条约中规定的证明</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手续；相关当事人提供的在香港特别行政区、澳门特别行政区和台湾地区内形成的证据，</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应当履行相关的证明手续。</w:t>
      </w:r>
    </w:p>
    <w:p w14:paraId="1E235D4D">
      <w:pPr>
        <w:spacing w:before="116" w:line="278" w:lineRule="auto"/>
        <w:ind w:left="1" w:right="53" w:firstLine="479"/>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4.在确定受理投诉后，财政部门自受理投诉之日起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30</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个工作日内（需要检验、检测、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鉴定、专家评审以及需要投诉人补正材料的，所需时间不计算在投诉处理期限内）对投诉</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事项做出处理决定。</w:t>
      </w:r>
    </w:p>
    <w:p w14:paraId="09A0822D">
      <w:pPr>
        <w:spacing w:before="105" w:line="242" w:lineRule="auto"/>
        <w:ind w:left="480"/>
        <w:outlineLvl w:val="9"/>
        <w:rPr>
          <w:rFonts w:ascii="黑体" w:hAnsi="黑体" w:eastAsia="黑体" w:cs="黑体"/>
          <w:color w:val="auto"/>
          <w:sz w:val="24"/>
          <w:szCs w:val="24"/>
          <w:highlight w:val="none"/>
        </w:rPr>
      </w:pPr>
      <w:bookmarkStart w:id="41" w:name="bookmark31"/>
      <w:bookmarkEnd w:id="41"/>
      <w:r>
        <w:rPr>
          <w:rFonts w:ascii="黑体" w:hAnsi="黑体" w:eastAsia="黑体" w:cs="黑体"/>
          <w:color w:val="auto"/>
          <w:spacing w:val="-1"/>
          <w:sz w:val="24"/>
          <w:szCs w:val="24"/>
          <w:highlight w:val="none"/>
        </w:rPr>
        <w:t>八、询价供应商虚假应标、不履约等行为的处理</w:t>
      </w:r>
    </w:p>
    <w:p w14:paraId="0FEFDC5C">
      <w:pPr>
        <w:spacing w:before="95" w:line="304" w:lineRule="auto"/>
        <w:ind w:firstLine="409"/>
        <w:outlineLvl w:val="9"/>
        <w:rPr>
          <w:rFonts w:ascii="宋体" w:hAnsi="宋体" w:eastAsia="宋体" w:cs="宋体"/>
          <w:color w:val="auto"/>
          <w:sz w:val="24"/>
          <w:szCs w:val="24"/>
          <w:highlight w:val="none"/>
        </w:rPr>
      </w:pPr>
      <w:r>
        <w:rPr>
          <w:rFonts w:ascii="宋体" w:hAnsi="宋体" w:eastAsia="宋体" w:cs="宋体"/>
          <w:color w:val="auto"/>
          <w:spacing w:val="-24"/>
          <w:w w:val="94"/>
          <w:sz w:val="24"/>
          <w:szCs w:val="24"/>
          <w:highlight w:val="none"/>
        </w:rPr>
        <w:t>供应商有提供虚假材料谋取成交，成交后无正当理由不与采购人签订合同，拒绝履行合同义务等行为，</w:t>
      </w:r>
      <w:r>
        <w:rPr>
          <w:rFonts w:ascii="宋体" w:hAnsi="宋体" w:eastAsia="宋体" w:cs="宋体"/>
          <w:color w:val="auto"/>
          <w:spacing w:val="2"/>
          <w:sz w:val="24"/>
          <w:szCs w:val="24"/>
          <w:highlight w:val="none"/>
        </w:rPr>
        <w:t xml:space="preserve"> </w:t>
      </w:r>
      <w:r>
        <w:rPr>
          <w:rFonts w:ascii="宋体" w:hAnsi="宋体" w:eastAsia="宋体" w:cs="宋体"/>
          <w:color w:val="auto"/>
          <w:spacing w:val="-22"/>
          <w:w w:val="95"/>
          <w:sz w:val="24"/>
          <w:szCs w:val="24"/>
          <w:highlight w:val="none"/>
        </w:rPr>
        <w:t>将严格按照《政府采购法》等相关法律法规予以处理。</w:t>
      </w:r>
    </w:p>
    <w:p w14:paraId="66FBBD40">
      <w:pPr>
        <w:spacing w:before="2"/>
        <w:ind w:left="483"/>
        <w:outlineLvl w:val="9"/>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九、</w:t>
      </w:r>
      <w:r>
        <w:rPr>
          <w:rFonts w:hint="eastAsia" w:ascii="黑体" w:hAnsi="黑体" w:eastAsia="黑体" w:cs="黑体"/>
          <w:color w:val="auto"/>
          <w:spacing w:val="-2"/>
          <w:sz w:val="24"/>
          <w:szCs w:val="24"/>
          <w:highlight w:val="none"/>
          <w:lang w:val="en-US" w:eastAsia="zh-CN"/>
        </w:rPr>
        <w:t>比选</w:t>
      </w:r>
      <w:r>
        <w:rPr>
          <w:rFonts w:ascii="黑体" w:hAnsi="黑体" w:eastAsia="黑体" w:cs="黑体"/>
          <w:color w:val="auto"/>
          <w:spacing w:val="-2"/>
          <w:sz w:val="24"/>
          <w:szCs w:val="24"/>
          <w:highlight w:val="none"/>
        </w:rPr>
        <w:t>服务费</w:t>
      </w:r>
    </w:p>
    <w:p w14:paraId="0DBAB44F">
      <w:pPr>
        <w:spacing w:before="97" w:line="219" w:lineRule="auto"/>
        <w:ind w:left="410"/>
        <w:outlineLvl w:val="9"/>
        <w:rPr>
          <w:rFonts w:ascii="宋体" w:hAnsi="宋体" w:eastAsia="宋体" w:cs="宋体"/>
          <w:color w:val="auto"/>
          <w:sz w:val="24"/>
          <w:szCs w:val="24"/>
          <w:highlight w:val="none"/>
        </w:rPr>
      </w:pPr>
      <w:r>
        <w:rPr>
          <w:rFonts w:hint="eastAsia" w:ascii="宋体" w:hAnsi="宋体" w:eastAsia="宋体" w:cs="宋体"/>
          <w:color w:val="auto"/>
          <w:spacing w:val="-26"/>
          <w:w w:val="98"/>
          <w:sz w:val="24"/>
          <w:szCs w:val="24"/>
          <w:highlight w:val="none"/>
          <w:lang w:val="en-US" w:eastAsia="zh-CN"/>
        </w:rPr>
        <w:t>比选服务</w:t>
      </w:r>
      <w:r>
        <w:rPr>
          <w:rFonts w:ascii="宋体" w:hAnsi="宋体" w:eastAsia="宋体" w:cs="宋体"/>
          <w:color w:val="auto"/>
          <w:spacing w:val="-26"/>
          <w:w w:val="98"/>
          <w:sz w:val="24"/>
          <w:szCs w:val="24"/>
          <w:highlight w:val="none"/>
        </w:rPr>
        <w:t>费</w:t>
      </w:r>
      <w:r>
        <w:rPr>
          <w:rFonts w:hint="eastAsia" w:ascii="宋体" w:hAnsi="宋体" w:eastAsia="宋体" w:cs="宋体"/>
          <w:color w:val="auto"/>
          <w:spacing w:val="-26"/>
          <w:w w:val="98"/>
          <w:sz w:val="24"/>
          <w:szCs w:val="24"/>
          <w:highlight w:val="none"/>
          <w:lang w:val="en-US" w:eastAsia="zh-CN"/>
        </w:rPr>
        <w:t>3</w:t>
      </w:r>
      <w:r>
        <w:rPr>
          <w:rFonts w:ascii="宋体" w:hAnsi="宋体" w:eastAsia="宋体" w:cs="宋体"/>
          <w:color w:val="auto"/>
          <w:spacing w:val="-26"/>
          <w:w w:val="98"/>
          <w:sz w:val="24"/>
          <w:szCs w:val="24"/>
          <w:highlight w:val="none"/>
        </w:rPr>
        <w:t>00元，由</w:t>
      </w:r>
      <w:r>
        <w:rPr>
          <w:rFonts w:hint="eastAsia" w:ascii="宋体" w:hAnsi="宋体" w:eastAsia="宋体" w:cs="宋体"/>
          <w:color w:val="auto"/>
          <w:spacing w:val="-26"/>
          <w:w w:val="98"/>
          <w:sz w:val="24"/>
          <w:szCs w:val="24"/>
          <w:highlight w:val="none"/>
          <w:lang w:val="en-US" w:eastAsia="zh-CN"/>
        </w:rPr>
        <w:t>成交供应商</w:t>
      </w:r>
      <w:r>
        <w:rPr>
          <w:rFonts w:ascii="宋体" w:hAnsi="宋体" w:eastAsia="宋体" w:cs="宋体"/>
          <w:color w:val="auto"/>
          <w:spacing w:val="-26"/>
          <w:w w:val="98"/>
          <w:sz w:val="24"/>
          <w:szCs w:val="24"/>
          <w:highlight w:val="none"/>
        </w:rPr>
        <w:t>在领取“</w:t>
      </w:r>
      <w:r>
        <w:rPr>
          <w:rFonts w:hint="eastAsia" w:ascii="宋体" w:hAnsi="宋体" w:eastAsia="宋体" w:cs="宋体"/>
          <w:color w:val="auto"/>
          <w:spacing w:val="-26"/>
          <w:w w:val="98"/>
          <w:sz w:val="24"/>
          <w:szCs w:val="24"/>
          <w:highlight w:val="none"/>
          <w:lang w:val="en-US" w:eastAsia="zh-CN"/>
        </w:rPr>
        <w:t>成交</w:t>
      </w:r>
      <w:r>
        <w:rPr>
          <w:rFonts w:ascii="宋体" w:hAnsi="宋体" w:eastAsia="宋体" w:cs="宋体"/>
          <w:color w:val="auto"/>
          <w:spacing w:val="-26"/>
          <w:w w:val="98"/>
          <w:sz w:val="24"/>
          <w:szCs w:val="24"/>
          <w:highlight w:val="none"/>
        </w:rPr>
        <w:t>通知书”前一次性支付给</w:t>
      </w:r>
      <w:r>
        <w:rPr>
          <w:rFonts w:hint="eastAsia" w:ascii="宋体" w:hAnsi="宋体" w:eastAsia="宋体" w:cs="宋体"/>
          <w:color w:val="auto"/>
          <w:spacing w:val="-26"/>
          <w:w w:val="98"/>
          <w:sz w:val="24"/>
          <w:szCs w:val="24"/>
          <w:highlight w:val="none"/>
          <w:lang w:val="en-US" w:eastAsia="zh-CN"/>
        </w:rPr>
        <w:t>采购人</w:t>
      </w:r>
      <w:r>
        <w:rPr>
          <w:rFonts w:ascii="宋体" w:hAnsi="宋体" w:eastAsia="宋体" w:cs="宋体"/>
          <w:color w:val="auto"/>
          <w:spacing w:val="-26"/>
          <w:w w:val="98"/>
          <w:sz w:val="24"/>
          <w:szCs w:val="24"/>
          <w:highlight w:val="none"/>
        </w:rPr>
        <w:t>招标</w:t>
      </w:r>
      <w:r>
        <w:rPr>
          <w:rFonts w:hint="eastAsia" w:ascii="宋体" w:hAnsi="宋体" w:eastAsia="宋体" w:cs="宋体"/>
          <w:color w:val="auto"/>
          <w:spacing w:val="-26"/>
          <w:w w:val="98"/>
          <w:sz w:val="24"/>
          <w:szCs w:val="24"/>
          <w:highlight w:val="none"/>
          <w:lang w:val="en-US" w:eastAsia="zh-CN"/>
        </w:rPr>
        <w:t>办公室</w:t>
      </w:r>
      <w:r>
        <w:rPr>
          <w:rFonts w:ascii="宋体" w:hAnsi="宋体" w:eastAsia="宋体" w:cs="宋体"/>
          <w:color w:val="auto"/>
          <w:spacing w:val="-26"/>
          <w:w w:val="98"/>
          <w:sz w:val="24"/>
          <w:szCs w:val="24"/>
          <w:highlight w:val="none"/>
        </w:rPr>
        <w:t>。</w:t>
      </w:r>
    </w:p>
    <w:p w14:paraId="3C04B502">
      <w:pPr>
        <w:numPr>
          <w:ilvl w:val="0"/>
          <w:numId w:val="0"/>
        </w:numPr>
        <w:spacing w:before="0" w:after="0" w:line="360" w:lineRule="exact"/>
        <w:ind w:firstLine="468" w:firstLineChars="200"/>
        <w:outlineLvl w:val="9"/>
        <w:rPr>
          <w:rFonts w:hint="eastAsia" w:ascii="方正小标宋_GBK" w:hAnsi="方正小标宋_GBK" w:eastAsia="方正小标宋_GBK" w:cs="方正小标宋_GBK"/>
          <w:color w:val="auto"/>
          <w:sz w:val="24"/>
          <w:szCs w:val="24"/>
          <w:highlight w:val="none"/>
          <w:lang w:val="en-US" w:eastAsia="zh-CN"/>
        </w:rPr>
      </w:pPr>
      <w:r>
        <w:rPr>
          <w:rFonts w:hint="eastAsia" w:ascii="方正黑体_GBK" w:hAnsi="方正黑体_GBK" w:eastAsia="方正黑体_GBK" w:cs="方正黑体_GBK"/>
          <w:b w:val="0"/>
          <w:bCs/>
          <w:color w:val="auto"/>
          <w:spacing w:val="-3"/>
          <w:position w:val="1"/>
          <w:sz w:val="24"/>
          <w:szCs w:val="24"/>
          <w:highlight w:val="none"/>
        </w:rPr>
        <w:t>十、</w:t>
      </w:r>
      <w:r>
        <w:rPr>
          <w:rFonts w:hint="eastAsia" w:ascii="方正黑体_GBK" w:hAnsi="方正黑体_GBK" w:eastAsia="方正黑体_GBK" w:cs="方正黑体_GBK"/>
          <w:b w:val="0"/>
          <w:bCs/>
          <w:color w:val="auto"/>
          <w:sz w:val="24"/>
          <w:szCs w:val="24"/>
          <w:highlight w:val="none"/>
          <w:lang w:val="en-US" w:eastAsia="zh-CN"/>
        </w:rPr>
        <w:t>关于重新比选</w:t>
      </w:r>
    </w:p>
    <w:p w14:paraId="6A1A15F6">
      <w:pPr>
        <w:pStyle w:val="17"/>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本次重新比选，</w:t>
      </w:r>
      <w:r>
        <w:rPr>
          <w:rFonts w:hint="eastAsia" w:ascii="宋体" w:hAnsi="宋体" w:eastAsia="宋体" w:cs="宋体"/>
          <w:color w:val="auto"/>
          <w:sz w:val="24"/>
          <w:szCs w:val="24"/>
          <w:highlight w:val="none"/>
        </w:rPr>
        <w:t>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文件作实质响应的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仍</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按法定程序开标、比选或通过谈判确定成交供应商。</w:t>
      </w:r>
    </w:p>
    <w:p w14:paraId="0EF9E9E3">
      <w:pPr>
        <w:spacing w:before="104" w:line="316" w:lineRule="exact"/>
        <w:ind w:left="488"/>
        <w:outlineLvl w:val="9"/>
        <w:rPr>
          <w:rFonts w:ascii="黑体" w:hAnsi="黑体" w:eastAsia="黑体" w:cs="黑体"/>
          <w:color w:val="auto"/>
          <w:sz w:val="24"/>
          <w:szCs w:val="24"/>
          <w:highlight w:val="none"/>
        </w:rPr>
      </w:pPr>
      <w:r>
        <w:rPr>
          <w:rFonts w:hint="eastAsia" w:ascii="黑体" w:hAnsi="黑体" w:eastAsia="黑体" w:cs="黑体"/>
          <w:color w:val="auto"/>
          <w:spacing w:val="-3"/>
          <w:position w:val="1"/>
          <w:sz w:val="24"/>
          <w:szCs w:val="24"/>
          <w:highlight w:val="none"/>
          <w:lang w:val="en-US" w:eastAsia="zh-CN"/>
        </w:rPr>
        <w:t>十一、</w:t>
      </w:r>
      <w:r>
        <w:rPr>
          <w:rFonts w:ascii="黑体" w:hAnsi="黑体" w:eastAsia="黑体" w:cs="黑体"/>
          <w:color w:val="auto"/>
          <w:spacing w:val="-3"/>
          <w:position w:val="1"/>
          <w:sz w:val="24"/>
          <w:szCs w:val="24"/>
          <w:highlight w:val="none"/>
        </w:rPr>
        <w:t>签订合同</w:t>
      </w:r>
    </w:p>
    <w:p w14:paraId="3F35B79D">
      <w:pPr>
        <w:spacing w:before="48" w:line="278" w:lineRule="auto"/>
        <w:ind w:left="1" w:right="28" w:firstLine="368"/>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（一）采购人与成交供应商应当在成交通知书发出之日起</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3日内，按</w:t>
      </w:r>
      <w:r>
        <w:rPr>
          <w:rFonts w:ascii="宋体" w:hAnsi="宋体" w:eastAsia="宋体" w:cs="宋体"/>
          <w:color w:val="auto"/>
          <w:spacing w:val="-2"/>
          <w:sz w:val="24"/>
          <w:szCs w:val="24"/>
          <w:highlight w:val="none"/>
        </w:rPr>
        <w:t>照询价通知书确</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定的合同文本以及采购标的、规格型号、采购金额、采购数量、技术和服务要求等事项签</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订采购合同。</w:t>
      </w:r>
    </w:p>
    <w:p w14:paraId="37AB9FCD">
      <w:pPr>
        <w:spacing w:before="115" w:line="219" w:lineRule="auto"/>
        <w:jc w:val="right"/>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（二）询价通知书、成交供应商的响应文件及有效承诺文件等，均为签订合同的依据。</w:t>
      </w:r>
    </w:p>
    <w:p w14:paraId="5DAE1204">
      <w:pPr>
        <w:spacing w:before="114" w:line="264" w:lineRule="auto"/>
        <w:ind w:right="28" w:firstLine="37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（三）成交供应商未按照询价通知书确定的事项签订合</w:t>
      </w:r>
      <w:r>
        <w:rPr>
          <w:rFonts w:ascii="宋体" w:hAnsi="宋体" w:eastAsia="宋体" w:cs="宋体"/>
          <w:color w:val="auto"/>
          <w:spacing w:val="-3"/>
          <w:sz w:val="24"/>
          <w:szCs w:val="24"/>
          <w:highlight w:val="none"/>
        </w:rPr>
        <w:t>同，或者与采购人另行订立背离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合同实质性内容协议的，将承担相关法律责任。</w:t>
      </w:r>
    </w:p>
    <w:p w14:paraId="6630B386">
      <w:pPr>
        <w:spacing w:before="115" w:line="278" w:lineRule="auto"/>
        <w:ind w:right="28" w:firstLine="37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（四）采购人不得向成交供应商提出超出询价以外的任</w:t>
      </w:r>
      <w:r>
        <w:rPr>
          <w:rFonts w:ascii="宋体" w:hAnsi="宋体" w:eastAsia="宋体" w:cs="宋体"/>
          <w:color w:val="auto"/>
          <w:spacing w:val="-3"/>
          <w:sz w:val="24"/>
          <w:szCs w:val="24"/>
          <w:highlight w:val="none"/>
        </w:rPr>
        <w:t>何要求作为签订合同的条件，不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得与成交供应商订立背离询价确定的合同文本以及采购标的、规格型号、采购金额、采购</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数量、技术和服务要求等实质性内容的协议。</w:t>
      </w:r>
    </w:p>
    <w:p w14:paraId="3B3A3A5B">
      <w:pPr>
        <w:spacing w:before="114" w:line="263" w:lineRule="auto"/>
        <w:ind w:left="3" w:right="28" w:firstLine="366"/>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（五）除不可抗力等因素外，成交通知书发出后，采购</w:t>
      </w:r>
      <w:r>
        <w:rPr>
          <w:rFonts w:ascii="宋体" w:hAnsi="宋体" w:eastAsia="宋体" w:cs="宋体"/>
          <w:color w:val="auto"/>
          <w:spacing w:val="-3"/>
          <w:sz w:val="24"/>
          <w:szCs w:val="24"/>
          <w:highlight w:val="none"/>
        </w:rPr>
        <w:t>人改变成交结果，或者成交供应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商无正当理由拒绝签订采购合同的，应当承担相应的法律责任。</w:t>
      </w:r>
    </w:p>
    <w:p w14:paraId="1E99E9DA">
      <w:pPr>
        <w:spacing w:line="263" w:lineRule="auto"/>
        <w:outlineLvl w:val="9"/>
        <w:rPr>
          <w:rFonts w:ascii="宋体" w:hAnsi="宋体" w:eastAsia="宋体" w:cs="宋体"/>
          <w:color w:val="auto"/>
          <w:sz w:val="24"/>
          <w:szCs w:val="24"/>
          <w:highlight w:val="none"/>
        </w:rPr>
        <w:sectPr>
          <w:footerReference r:id="rId14" w:type="default"/>
          <w:pgSz w:w="11907" w:h="16840"/>
          <w:pgMar w:top="1323" w:right="1162" w:bottom="1221" w:left="1313" w:header="0" w:footer="853" w:gutter="0"/>
          <w:pgNumType w:fmt="decimal"/>
          <w:cols w:space="720" w:num="1"/>
        </w:sectPr>
      </w:pPr>
    </w:p>
    <w:p w14:paraId="5D1C164B">
      <w:pPr>
        <w:spacing w:before="80" w:line="469" w:lineRule="exact"/>
        <w:ind w:left="2829"/>
        <w:outlineLvl w:val="0"/>
        <w:rPr>
          <w:rFonts w:ascii="黑体" w:hAnsi="黑体" w:eastAsia="黑体" w:cs="黑体"/>
          <w:color w:val="auto"/>
          <w:sz w:val="35"/>
          <w:szCs w:val="35"/>
          <w:highlight w:val="none"/>
        </w:rPr>
      </w:pPr>
      <w:r>
        <w:rPr>
          <w:rFonts w:ascii="黑体" w:hAnsi="黑体" w:eastAsia="黑体" w:cs="黑体"/>
          <w:color w:val="auto"/>
          <w:spacing w:val="8"/>
          <w:position w:val="1"/>
          <w:sz w:val="35"/>
          <w:szCs w:val="35"/>
          <w:highlight w:val="none"/>
        </w:rPr>
        <w:t>第三篇 询价项目服务需求</w:t>
      </w:r>
    </w:p>
    <w:p w14:paraId="26B03FCC">
      <w:pPr>
        <w:spacing w:before="78" w:line="318" w:lineRule="exact"/>
        <w:ind w:firstLine="392" w:firstLineChars="200"/>
        <w:outlineLvl w:val="9"/>
        <w:rPr>
          <w:rFonts w:hint="eastAsia" w:ascii="黑体" w:hAnsi="黑体" w:eastAsia="黑体" w:cs="黑体"/>
          <w:color w:val="auto"/>
          <w:spacing w:val="-22"/>
          <w:position w:val="1"/>
          <w:sz w:val="24"/>
          <w:szCs w:val="24"/>
          <w:highlight w:val="none"/>
          <w:lang w:val="en-US" w:eastAsia="zh-CN"/>
        </w:rPr>
      </w:pPr>
      <w:r>
        <w:rPr>
          <w:rFonts w:hint="eastAsia" w:ascii="黑体" w:hAnsi="黑体" w:eastAsia="黑体" w:cs="黑体"/>
          <w:color w:val="auto"/>
          <w:spacing w:val="-22"/>
          <w:position w:val="1"/>
          <w:sz w:val="24"/>
          <w:szCs w:val="24"/>
          <w:highlight w:val="none"/>
          <w:lang w:val="en-US" w:eastAsia="zh-CN"/>
        </w:rPr>
        <w:t>一、项目一览表</w:t>
      </w:r>
    </w:p>
    <w:tbl>
      <w:tblPr>
        <w:tblStyle w:val="12"/>
        <w:tblW w:w="867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1216"/>
        <w:gridCol w:w="2784"/>
      </w:tblGrid>
      <w:tr w14:paraId="7575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76" w:type="dxa"/>
            <w:vAlign w:val="top"/>
          </w:tcPr>
          <w:p w14:paraId="2068A8E1">
            <w:pPr>
              <w:pStyle w:val="13"/>
              <w:spacing w:before="127" w:line="220" w:lineRule="auto"/>
              <w:ind w:left="1740"/>
              <w:outlineLvl w:val="9"/>
              <w:rPr>
                <w:color w:val="auto"/>
                <w:highlight w:val="none"/>
              </w:rPr>
            </w:pPr>
            <w:r>
              <w:rPr>
                <w:b/>
                <w:bCs/>
                <w:color w:val="auto"/>
                <w:spacing w:val="-6"/>
                <w:highlight w:val="none"/>
              </w:rPr>
              <w:t>项目名称</w:t>
            </w:r>
          </w:p>
        </w:tc>
        <w:tc>
          <w:tcPr>
            <w:tcW w:w="1216" w:type="dxa"/>
            <w:vAlign w:val="top"/>
          </w:tcPr>
          <w:p w14:paraId="142FC998">
            <w:pPr>
              <w:pStyle w:val="13"/>
              <w:spacing w:before="128" w:line="219" w:lineRule="auto"/>
              <w:ind w:firstLine="191" w:firstLineChars="100"/>
              <w:outlineLvl w:val="9"/>
              <w:rPr>
                <w:color w:val="auto"/>
                <w:highlight w:val="none"/>
              </w:rPr>
            </w:pPr>
            <w:r>
              <w:rPr>
                <w:b/>
                <w:bCs/>
                <w:color w:val="auto"/>
                <w:spacing w:val="-5"/>
                <w:highlight w:val="none"/>
              </w:rPr>
              <w:t>数量</w:t>
            </w:r>
            <w:r>
              <w:rPr>
                <w:rFonts w:ascii="Times New Roman" w:hAnsi="Times New Roman" w:eastAsia="Times New Roman" w:cs="Times New Roman"/>
                <w:b/>
                <w:bCs/>
                <w:color w:val="auto"/>
                <w:spacing w:val="-5"/>
                <w:highlight w:val="none"/>
              </w:rPr>
              <w:t>/</w:t>
            </w:r>
            <w:r>
              <w:rPr>
                <w:b/>
                <w:bCs/>
                <w:color w:val="auto"/>
                <w:spacing w:val="-5"/>
                <w:highlight w:val="none"/>
              </w:rPr>
              <w:t>单位</w:t>
            </w:r>
          </w:p>
        </w:tc>
        <w:tc>
          <w:tcPr>
            <w:tcW w:w="2784" w:type="dxa"/>
            <w:vAlign w:val="top"/>
          </w:tcPr>
          <w:p w14:paraId="1781FEBB">
            <w:pPr>
              <w:pStyle w:val="13"/>
              <w:spacing w:before="127" w:line="221" w:lineRule="auto"/>
              <w:ind w:left="1111"/>
              <w:outlineLvl w:val="9"/>
              <w:rPr>
                <w:color w:val="auto"/>
                <w:highlight w:val="none"/>
              </w:rPr>
            </w:pPr>
            <w:r>
              <w:rPr>
                <w:b/>
                <w:bCs/>
                <w:color w:val="auto"/>
                <w:spacing w:val="-9"/>
                <w:highlight w:val="none"/>
              </w:rPr>
              <w:t>备注</w:t>
            </w:r>
          </w:p>
        </w:tc>
      </w:tr>
      <w:tr w14:paraId="6EEB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676" w:type="dxa"/>
            <w:vAlign w:val="top"/>
          </w:tcPr>
          <w:p w14:paraId="08330B71">
            <w:pPr>
              <w:pStyle w:val="13"/>
              <w:spacing w:before="75" w:line="220" w:lineRule="auto"/>
              <w:ind w:left="138"/>
              <w:outlineLvl w:val="9"/>
              <w:rPr>
                <w:color w:val="auto"/>
                <w:highlight w:val="none"/>
              </w:rPr>
            </w:pPr>
            <w:r>
              <w:rPr>
                <w:rFonts w:hint="eastAsia"/>
                <w:color w:val="auto"/>
                <w:highlight w:val="none"/>
                <w:lang w:val="en-US" w:eastAsia="zh-CN"/>
              </w:rPr>
              <w:t>原</w:t>
            </w:r>
            <w:r>
              <w:rPr>
                <w:rFonts w:hint="eastAsia"/>
                <w:color w:val="auto"/>
                <w:highlight w:val="none"/>
                <w:lang w:eastAsia="zh-CN"/>
              </w:rPr>
              <w:t>重庆汽车工程技术学院建设工程一期（6-12#、13#楼）</w:t>
            </w:r>
            <w:r>
              <w:rPr>
                <w:rFonts w:hint="eastAsia"/>
                <w:color w:val="auto"/>
                <w:highlight w:val="none"/>
                <w:lang w:val="en-US" w:eastAsia="zh-CN"/>
              </w:rPr>
              <w:t>房屋测绘</w:t>
            </w:r>
            <w:r>
              <w:rPr>
                <w:rFonts w:hint="eastAsia"/>
                <w:color w:val="auto"/>
                <w:highlight w:val="none"/>
                <w:lang w:eastAsia="zh-CN"/>
              </w:rPr>
              <w:t>（</w:t>
            </w:r>
            <w:r>
              <w:rPr>
                <w:rFonts w:hint="eastAsia"/>
                <w:color w:val="auto"/>
                <w:highlight w:val="none"/>
                <w:lang w:val="en-US" w:eastAsia="zh-CN"/>
              </w:rPr>
              <w:t>第三次</w:t>
            </w:r>
            <w:r>
              <w:rPr>
                <w:rFonts w:hint="eastAsia"/>
                <w:color w:val="auto"/>
                <w:highlight w:val="none"/>
                <w:lang w:eastAsia="zh-CN"/>
              </w:rPr>
              <w:t>）</w:t>
            </w:r>
          </w:p>
        </w:tc>
        <w:tc>
          <w:tcPr>
            <w:tcW w:w="1216" w:type="dxa"/>
            <w:vAlign w:val="center"/>
          </w:tcPr>
          <w:p w14:paraId="7A2805A4">
            <w:pPr>
              <w:pStyle w:val="13"/>
              <w:keepNext w:val="0"/>
              <w:keepLines w:val="0"/>
              <w:pageBreakBefore w:val="0"/>
              <w:widowControl/>
              <w:kinsoku w:val="0"/>
              <w:wordWrap/>
              <w:overflowPunct/>
              <w:topLinePunct w:val="0"/>
              <w:autoSpaceDE w:val="0"/>
              <w:autoSpaceDN w:val="0"/>
              <w:bidi w:val="0"/>
              <w:adjustRightInd w:val="0"/>
              <w:snapToGrid w:val="0"/>
              <w:spacing w:before="75" w:line="160" w:lineRule="exact"/>
              <w:ind w:firstLine="400" w:firstLineChars="200"/>
              <w:jc w:val="both"/>
              <w:textAlignment w:val="baseline"/>
              <w:outlineLvl w:val="9"/>
              <w:rPr>
                <w:color w:val="auto"/>
                <w:highlight w:val="none"/>
              </w:rPr>
            </w:pPr>
            <w:r>
              <w:rPr>
                <w:rFonts w:hint="eastAsia"/>
                <w:color w:val="auto"/>
                <w:highlight w:val="none"/>
                <w:lang w:eastAsia="zh-CN"/>
              </w:rPr>
              <w:t>1 项</w:t>
            </w:r>
          </w:p>
        </w:tc>
        <w:tc>
          <w:tcPr>
            <w:tcW w:w="2784" w:type="dxa"/>
            <w:vAlign w:val="center"/>
          </w:tcPr>
          <w:p w14:paraId="2115243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outlineLvl w:val="9"/>
              <w:rPr>
                <w:rFonts w:ascii="Times New Roman" w:hAnsi="Times New Roman" w:eastAsia="Times New Roman" w:cs="Times New Roman"/>
                <w:color w:val="auto"/>
                <w:sz w:val="24"/>
                <w:szCs w:val="24"/>
                <w:highlight w:val="none"/>
              </w:rPr>
            </w:pPr>
            <w:r>
              <w:rPr>
                <w:rFonts w:hint="eastAsia" w:ascii="宋体" w:hAnsi="宋体" w:eastAsia="宋体" w:cs="宋体"/>
                <w:color w:val="auto"/>
                <w:sz w:val="21"/>
                <w:highlight w:val="none"/>
                <w:lang w:val="en-US" w:eastAsia="zh-CN"/>
              </w:rPr>
              <w:t>预测房屋面积62431.77㎡</w:t>
            </w:r>
          </w:p>
        </w:tc>
      </w:tr>
    </w:tbl>
    <w:p w14:paraId="4F9CD630">
      <w:pPr>
        <w:spacing w:before="78" w:line="318" w:lineRule="exact"/>
        <w:ind w:firstLine="392" w:firstLineChars="200"/>
        <w:outlineLvl w:val="9"/>
        <w:rPr>
          <w:rFonts w:ascii="黑体" w:hAnsi="黑体" w:eastAsia="黑体" w:cs="黑体"/>
          <w:color w:val="auto"/>
          <w:sz w:val="24"/>
          <w:szCs w:val="24"/>
          <w:highlight w:val="none"/>
        </w:rPr>
      </w:pPr>
      <w:r>
        <w:rPr>
          <w:rFonts w:hint="eastAsia" w:ascii="黑体" w:hAnsi="黑体" w:eastAsia="黑体" w:cs="黑体"/>
          <w:color w:val="auto"/>
          <w:spacing w:val="-22"/>
          <w:position w:val="1"/>
          <w:sz w:val="24"/>
          <w:szCs w:val="24"/>
          <w:highlight w:val="none"/>
          <w:lang w:val="en-US" w:eastAsia="zh-CN"/>
        </w:rPr>
        <w:t>二</w:t>
      </w:r>
      <w:r>
        <w:rPr>
          <w:rFonts w:ascii="黑体" w:hAnsi="黑体" w:eastAsia="黑体" w:cs="黑体"/>
          <w:color w:val="auto"/>
          <w:spacing w:val="-22"/>
          <w:position w:val="1"/>
          <w:sz w:val="24"/>
          <w:szCs w:val="24"/>
          <w:highlight w:val="none"/>
        </w:rPr>
        <w:t>、总体目标</w:t>
      </w:r>
    </w:p>
    <w:p w14:paraId="1A63A0F6">
      <w:pPr>
        <w:spacing w:before="111" w:line="322" w:lineRule="auto"/>
        <w:ind w:right="142" w:firstLine="480" w:firstLineChars="200"/>
        <w:jc w:val="both"/>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1.核心目标：</w:t>
      </w:r>
      <w:r>
        <w:rPr>
          <w:rFonts w:ascii="宋体" w:hAnsi="宋体" w:eastAsia="宋体" w:cs="宋体"/>
          <w:color w:val="auto"/>
          <w:sz w:val="24"/>
          <w:szCs w:val="24"/>
          <w:highlight w:val="none"/>
        </w:rPr>
        <w:t>通过专业测绘服务，形成符合不动产登记要求的成果文件，确保甲方顺利办理 6-12#、13# 楼不动产权证书，建立准确的楼盘表及房屋权属数据。</w:t>
      </w:r>
    </w:p>
    <w:p w14:paraId="31CF8CBC">
      <w:pPr>
        <w:spacing w:before="111" w:line="322" w:lineRule="auto"/>
        <w:ind w:right="142"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2.工作范围：完成项目红线内 6-12#、13#楼及相关配套设施的房产测绘，涵盖建筑面积测算、分户图绘制（如需）、共有部位分摊（如有）等核心内容。</w:t>
      </w:r>
    </w:p>
    <w:p w14:paraId="094B3F2F">
      <w:pPr>
        <w:spacing w:before="111" w:line="322" w:lineRule="auto"/>
        <w:ind w:right="142"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3.成果要求：测绘成果需符合《房产测量规范》（GB/T 17986）、《重庆市房产测绘成果数据标准》及不动产登记部门要求，确保数据真实、准确、完整，满足建立楼盘表及权属登记的技术标准。</w:t>
      </w:r>
    </w:p>
    <w:p w14:paraId="554E0D45">
      <w:pPr>
        <w:spacing w:before="111" w:line="322" w:lineRule="auto"/>
        <w:ind w:right="142" w:firstLine="480" w:firstLineChars="200"/>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流程协助：</w:t>
      </w:r>
      <w:r>
        <w:rPr>
          <w:rFonts w:hint="default" w:ascii="宋体" w:hAnsi="宋体" w:eastAsia="宋体" w:cs="宋体"/>
          <w:color w:val="auto"/>
          <w:sz w:val="24"/>
          <w:szCs w:val="24"/>
          <w:highlight w:val="none"/>
          <w:lang w:val="en-US" w:eastAsia="zh-CN"/>
        </w:rPr>
        <w:t>乙方需配合</w:t>
      </w:r>
      <w:r>
        <w:rPr>
          <w:rFonts w:hint="eastAsia" w:ascii="宋体" w:hAnsi="宋体" w:eastAsia="宋体" w:cs="宋体"/>
          <w:color w:val="auto"/>
          <w:sz w:val="24"/>
          <w:szCs w:val="24"/>
          <w:highlight w:val="none"/>
          <w:lang w:val="en-US" w:eastAsia="zh-CN"/>
        </w:rPr>
        <w:t>协助</w:t>
      </w:r>
      <w:r>
        <w:rPr>
          <w:rFonts w:hint="default" w:ascii="宋体" w:hAnsi="宋体" w:eastAsia="宋体" w:cs="宋体"/>
          <w:color w:val="auto"/>
          <w:sz w:val="24"/>
          <w:szCs w:val="24"/>
          <w:highlight w:val="none"/>
          <w:u w:val="none"/>
          <w:lang w:val="en-US" w:eastAsia="zh-CN"/>
        </w:rPr>
        <w:t>甲</w:t>
      </w:r>
      <w:r>
        <w:rPr>
          <w:rFonts w:hint="default" w:ascii="宋体" w:hAnsi="宋体" w:eastAsia="宋体" w:cs="宋体"/>
          <w:color w:val="auto"/>
          <w:sz w:val="24"/>
          <w:szCs w:val="24"/>
          <w:highlight w:val="none"/>
          <w:lang w:val="en-US" w:eastAsia="zh-CN"/>
        </w:rPr>
        <w:t>方完成测绘成果的审核、备案及不动产登记申请，</w:t>
      </w:r>
      <w:r>
        <w:rPr>
          <w:rFonts w:hint="default" w:ascii="宋体" w:hAnsi="宋体" w:eastAsia="宋体" w:cs="宋体"/>
          <w:color w:val="auto"/>
          <w:sz w:val="24"/>
          <w:szCs w:val="24"/>
          <w:highlight w:val="none"/>
          <w:lang w:val="en-US" w:eastAsia="zh-CN"/>
        </w:rPr>
        <w:t>协助</w:t>
      </w:r>
      <w:r>
        <w:rPr>
          <w:rFonts w:hint="default" w:ascii="宋体" w:hAnsi="宋体" w:eastAsia="宋体" w:cs="宋体"/>
          <w:color w:val="auto"/>
          <w:sz w:val="24"/>
          <w:szCs w:val="24"/>
          <w:highlight w:val="none"/>
          <w:lang w:val="en-US" w:eastAsia="zh-CN"/>
        </w:rPr>
        <w:t>解决主管部门反馈的问题，直至取得《房产测绘成果备案表》及完成不动产权证书办理所需的测绘数据提交。</w:t>
      </w:r>
    </w:p>
    <w:p w14:paraId="4CEA1F45">
      <w:pPr>
        <w:spacing w:before="111" w:line="322" w:lineRule="auto"/>
        <w:ind w:right="142" w:firstLine="480" w:firstLineChars="200"/>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质量与时效：在合同约定期限内完成测绘工作，保证成果通过相关部门审查，为甲方不动产登记提供合规、有效的技术支持，避免因测绘问题导致办证延误。</w:t>
      </w:r>
    </w:p>
    <w:p w14:paraId="4036A414">
      <w:pPr>
        <w:spacing w:before="78" w:line="318" w:lineRule="exact"/>
        <w:ind w:firstLine="392" w:firstLineChars="200"/>
        <w:outlineLvl w:val="9"/>
        <w:rPr>
          <w:rFonts w:hint="eastAsia" w:ascii="黑体" w:hAnsi="黑体" w:eastAsia="黑体" w:cs="黑体"/>
          <w:color w:val="auto"/>
          <w:spacing w:val="-22"/>
          <w:position w:val="1"/>
          <w:sz w:val="24"/>
          <w:szCs w:val="24"/>
          <w:highlight w:val="none"/>
          <w:lang w:val="en-US" w:eastAsia="zh-CN"/>
        </w:rPr>
      </w:pPr>
      <w:r>
        <w:rPr>
          <w:rFonts w:hint="eastAsia" w:ascii="黑体" w:hAnsi="黑体" w:eastAsia="黑体" w:cs="黑体"/>
          <w:color w:val="auto"/>
          <w:spacing w:val="-22"/>
          <w:position w:val="1"/>
          <w:sz w:val="24"/>
          <w:szCs w:val="24"/>
          <w:highlight w:val="none"/>
          <w:lang w:val="en-US" w:eastAsia="zh-CN"/>
        </w:rPr>
        <w:t>三、现场踏勘</w:t>
      </w:r>
    </w:p>
    <w:p w14:paraId="50F9DB88">
      <w:pPr>
        <w:spacing w:before="115" w:line="219" w:lineRule="auto"/>
        <w:ind w:firstLine="476" w:firstLineChars="20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（一）不集中组织现场踏勘，供应商自行联系踏勘现场。</w:t>
      </w:r>
    </w:p>
    <w:p w14:paraId="07BBED66">
      <w:pPr>
        <w:spacing w:before="135" w:line="219" w:lineRule="auto"/>
        <w:ind w:firstLine="472" w:firstLineChars="200"/>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（二）供应商踏勘现场发生的费用自理。</w:t>
      </w:r>
    </w:p>
    <w:p w14:paraId="243F1C53">
      <w:pPr>
        <w:spacing w:before="115" w:line="219" w:lineRule="auto"/>
        <w:ind w:firstLine="476" w:firstLineChars="20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（三）除采购人原因外，供应商自行负责在踏勘现场中所发生的安全责任和财产损失。</w:t>
      </w:r>
    </w:p>
    <w:p w14:paraId="2148DDD0">
      <w:pPr>
        <w:spacing w:before="135" w:line="271" w:lineRule="auto"/>
        <w:ind w:right="143" w:firstLine="484" w:firstLineChars="20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（四）采购人在踏勘现场中介绍的工程场地和相关的周边环境情况，</w:t>
      </w:r>
      <w:r>
        <w:rPr>
          <w:rFonts w:ascii="宋体" w:hAnsi="宋体" w:eastAsia="宋体" w:cs="宋体"/>
          <w:color w:val="auto"/>
          <w:sz w:val="24"/>
          <w:szCs w:val="24"/>
          <w:highlight w:val="none"/>
        </w:rPr>
        <w:t>仅供供应商在编</w:t>
      </w:r>
      <w:r>
        <w:rPr>
          <w:rFonts w:ascii="宋体" w:hAnsi="宋体" w:eastAsia="宋体" w:cs="宋体"/>
          <w:color w:val="auto"/>
          <w:spacing w:val="-1"/>
          <w:sz w:val="24"/>
          <w:szCs w:val="24"/>
          <w:highlight w:val="none"/>
        </w:rPr>
        <w:t>制响应文件时参考</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pacing w:val="-1"/>
          <w:sz w:val="24"/>
          <w:szCs w:val="24"/>
          <w:highlight w:val="none"/>
        </w:rPr>
        <w:t>采购人不对供应商据此做出的判断和决策负责。</w:t>
      </w:r>
    </w:p>
    <w:p w14:paraId="073075AB">
      <w:pPr>
        <w:spacing w:before="135" w:line="271" w:lineRule="auto"/>
        <w:ind w:right="142" w:firstLine="484" w:firstLineChars="20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（五）无论供应商是否踏勘过现场，均被认为在递交响应文件之前已</w:t>
      </w:r>
      <w:r>
        <w:rPr>
          <w:rFonts w:ascii="宋体" w:hAnsi="宋体" w:eastAsia="宋体" w:cs="宋体"/>
          <w:color w:val="auto"/>
          <w:sz w:val="24"/>
          <w:szCs w:val="24"/>
          <w:highlight w:val="none"/>
        </w:rPr>
        <w:t>经踏勘现场，对 本项目的风险和义务已经十分了解，并在其响应文件中已充</w:t>
      </w:r>
      <w:r>
        <w:rPr>
          <w:rFonts w:ascii="宋体" w:hAnsi="宋体" w:eastAsia="宋体" w:cs="宋体"/>
          <w:color w:val="auto"/>
          <w:spacing w:val="-1"/>
          <w:sz w:val="24"/>
          <w:szCs w:val="24"/>
          <w:highlight w:val="none"/>
        </w:rPr>
        <w:t>分考虑了现场和环境条件。</w:t>
      </w:r>
    </w:p>
    <w:p w14:paraId="6888E9BC">
      <w:pPr>
        <w:spacing w:before="135" w:line="220" w:lineRule="auto"/>
        <w:ind w:left="664"/>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踏勘现场联系人：</w:t>
      </w:r>
      <w:r>
        <w:rPr>
          <w:rFonts w:hint="eastAsia" w:ascii="宋体" w:hAnsi="宋体" w:eastAsia="宋体" w:cs="宋体"/>
          <w:color w:val="auto"/>
          <w:spacing w:val="-2"/>
          <w:sz w:val="24"/>
          <w:szCs w:val="24"/>
          <w:highlight w:val="none"/>
          <w:lang w:val="en-US" w:eastAsia="zh-CN"/>
        </w:rPr>
        <w:t>陈秀英</w:t>
      </w:r>
      <w:r>
        <w:rPr>
          <w:rFonts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lang w:val="en-US" w:eastAsia="zh-CN"/>
        </w:rPr>
        <w:t>18375863913</w:t>
      </w:r>
      <w:r>
        <w:rPr>
          <w:rFonts w:ascii="宋体" w:hAnsi="宋体" w:eastAsia="宋体" w:cs="宋体"/>
          <w:color w:val="auto"/>
          <w:spacing w:val="-2"/>
          <w:sz w:val="24"/>
          <w:szCs w:val="24"/>
          <w:highlight w:val="none"/>
        </w:rPr>
        <w:t>。</w:t>
      </w:r>
    </w:p>
    <w:p w14:paraId="657B547F">
      <w:pPr>
        <w:spacing w:before="125" w:line="241" w:lineRule="auto"/>
        <w:ind w:firstLine="384" w:firstLineChars="200"/>
        <w:outlineLvl w:val="9"/>
        <w:rPr>
          <w:rFonts w:hint="eastAsia" w:ascii="黑体" w:hAnsi="黑体" w:eastAsia="黑体" w:cs="黑体"/>
          <w:color w:val="auto"/>
          <w:sz w:val="24"/>
          <w:szCs w:val="24"/>
          <w:highlight w:val="none"/>
          <w:lang w:eastAsia="zh-CN"/>
        </w:rPr>
      </w:pPr>
      <w:r>
        <w:rPr>
          <w:rFonts w:hint="eastAsia" w:ascii="黑体" w:hAnsi="黑体" w:eastAsia="黑体" w:cs="黑体"/>
          <w:color w:val="auto"/>
          <w:spacing w:val="-24"/>
          <w:sz w:val="24"/>
          <w:szCs w:val="24"/>
          <w:highlight w:val="none"/>
          <w:lang w:val="en-US" w:eastAsia="zh-CN"/>
        </w:rPr>
        <w:t>四</w:t>
      </w:r>
      <w:r>
        <w:rPr>
          <w:rFonts w:ascii="黑体" w:hAnsi="黑体" w:eastAsia="黑体" w:cs="黑体"/>
          <w:color w:val="auto"/>
          <w:spacing w:val="-24"/>
          <w:sz w:val="24"/>
          <w:szCs w:val="24"/>
          <w:highlight w:val="none"/>
        </w:rPr>
        <w:t>、服务</w:t>
      </w:r>
      <w:r>
        <w:rPr>
          <w:rFonts w:hint="eastAsia" w:ascii="黑体" w:hAnsi="黑体" w:eastAsia="黑体" w:cs="黑体"/>
          <w:color w:val="auto"/>
          <w:spacing w:val="-24"/>
          <w:sz w:val="24"/>
          <w:szCs w:val="24"/>
          <w:highlight w:val="none"/>
          <w:lang w:val="en-US" w:eastAsia="zh-CN"/>
        </w:rPr>
        <w:t>要求</w:t>
      </w:r>
    </w:p>
    <w:p w14:paraId="4BAAB395">
      <w:pPr>
        <w:spacing w:before="135" w:line="271" w:lineRule="auto"/>
        <w:ind w:right="142"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需按照国家及重庆市现行房产测绘规范，完成重庆理工职业学院 6-12#、13# 楼房产测绘，提交符合不动产登记要求的成果文件并协助备案，确保甲方顺利办理不动产权证书，数据准确、流程合规、按时交付。</w:t>
      </w:r>
    </w:p>
    <w:p w14:paraId="51ABE9E8">
      <w:pPr>
        <w:spacing w:before="72" w:line="224" w:lineRule="auto"/>
        <w:jc w:val="center"/>
        <w:outlineLvl w:val="9"/>
        <w:rPr>
          <w:rFonts w:ascii="宋体" w:hAnsi="宋体" w:eastAsia="宋体" w:cs="宋体"/>
          <w:b/>
          <w:bCs/>
          <w:color w:val="auto"/>
          <w:spacing w:val="6"/>
          <w:sz w:val="35"/>
          <w:szCs w:val="35"/>
          <w:highlight w:val="none"/>
        </w:rPr>
      </w:pPr>
    </w:p>
    <w:p w14:paraId="0A1F769E">
      <w:pPr>
        <w:spacing w:before="72" w:line="224" w:lineRule="auto"/>
        <w:jc w:val="center"/>
        <w:outlineLvl w:val="9"/>
        <w:rPr>
          <w:rFonts w:ascii="宋体" w:hAnsi="宋体" w:eastAsia="宋体" w:cs="宋体"/>
          <w:b/>
          <w:bCs/>
          <w:color w:val="auto"/>
          <w:spacing w:val="6"/>
          <w:sz w:val="35"/>
          <w:szCs w:val="35"/>
          <w:highlight w:val="none"/>
        </w:rPr>
      </w:pPr>
    </w:p>
    <w:p w14:paraId="151894F5">
      <w:pPr>
        <w:spacing w:before="72" w:line="224" w:lineRule="auto"/>
        <w:jc w:val="center"/>
        <w:outlineLvl w:val="9"/>
        <w:rPr>
          <w:rFonts w:ascii="宋体" w:hAnsi="宋体" w:eastAsia="宋体" w:cs="宋体"/>
          <w:b/>
          <w:bCs/>
          <w:color w:val="auto"/>
          <w:spacing w:val="6"/>
          <w:sz w:val="35"/>
          <w:szCs w:val="35"/>
          <w:highlight w:val="none"/>
        </w:rPr>
      </w:pPr>
    </w:p>
    <w:p w14:paraId="770618CB">
      <w:pPr>
        <w:spacing w:before="72" w:line="224" w:lineRule="auto"/>
        <w:jc w:val="center"/>
        <w:outlineLvl w:val="9"/>
        <w:rPr>
          <w:rFonts w:ascii="宋体" w:hAnsi="宋体" w:eastAsia="宋体" w:cs="宋体"/>
          <w:b/>
          <w:bCs/>
          <w:color w:val="auto"/>
          <w:spacing w:val="6"/>
          <w:sz w:val="35"/>
          <w:szCs w:val="35"/>
          <w:highlight w:val="none"/>
        </w:rPr>
      </w:pPr>
    </w:p>
    <w:p w14:paraId="4A215745">
      <w:pPr>
        <w:spacing w:before="72" w:line="224" w:lineRule="auto"/>
        <w:jc w:val="center"/>
        <w:outlineLvl w:val="9"/>
        <w:rPr>
          <w:rFonts w:ascii="宋体" w:hAnsi="宋体" w:eastAsia="宋体" w:cs="宋体"/>
          <w:b/>
          <w:bCs/>
          <w:color w:val="auto"/>
          <w:spacing w:val="6"/>
          <w:sz w:val="35"/>
          <w:szCs w:val="35"/>
          <w:highlight w:val="none"/>
        </w:rPr>
      </w:pPr>
    </w:p>
    <w:p w14:paraId="786C60B6">
      <w:pPr>
        <w:spacing w:before="72" w:line="224" w:lineRule="auto"/>
        <w:jc w:val="center"/>
        <w:outlineLvl w:val="9"/>
        <w:rPr>
          <w:rFonts w:ascii="宋体" w:hAnsi="宋体" w:eastAsia="宋体" w:cs="宋体"/>
          <w:b/>
          <w:bCs/>
          <w:color w:val="auto"/>
          <w:spacing w:val="6"/>
          <w:sz w:val="35"/>
          <w:szCs w:val="35"/>
          <w:highlight w:val="none"/>
        </w:rPr>
      </w:pPr>
    </w:p>
    <w:p w14:paraId="6306FBD0">
      <w:pPr>
        <w:spacing w:before="72" w:line="224" w:lineRule="auto"/>
        <w:jc w:val="center"/>
        <w:outlineLvl w:val="9"/>
        <w:rPr>
          <w:rFonts w:ascii="宋体" w:hAnsi="宋体" w:eastAsia="宋体" w:cs="宋体"/>
          <w:b/>
          <w:bCs/>
          <w:color w:val="auto"/>
          <w:spacing w:val="6"/>
          <w:sz w:val="35"/>
          <w:szCs w:val="35"/>
          <w:highlight w:val="none"/>
        </w:rPr>
      </w:pPr>
    </w:p>
    <w:p w14:paraId="36CDFE89">
      <w:pPr>
        <w:spacing w:before="72" w:line="224" w:lineRule="auto"/>
        <w:jc w:val="center"/>
        <w:outlineLvl w:val="9"/>
        <w:rPr>
          <w:rFonts w:ascii="宋体" w:hAnsi="宋体" w:eastAsia="宋体" w:cs="宋体"/>
          <w:b/>
          <w:bCs/>
          <w:color w:val="auto"/>
          <w:spacing w:val="6"/>
          <w:sz w:val="35"/>
          <w:szCs w:val="35"/>
          <w:highlight w:val="none"/>
        </w:rPr>
      </w:pPr>
    </w:p>
    <w:p w14:paraId="500E9CA3">
      <w:pPr>
        <w:spacing w:before="72" w:line="224" w:lineRule="auto"/>
        <w:jc w:val="center"/>
        <w:outlineLvl w:val="9"/>
        <w:rPr>
          <w:rFonts w:ascii="宋体" w:hAnsi="宋体" w:eastAsia="宋体" w:cs="宋体"/>
          <w:b/>
          <w:bCs/>
          <w:color w:val="auto"/>
          <w:spacing w:val="6"/>
          <w:sz w:val="35"/>
          <w:szCs w:val="35"/>
          <w:highlight w:val="none"/>
        </w:rPr>
      </w:pPr>
    </w:p>
    <w:p w14:paraId="6F631FF9">
      <w:pPr>
        <w:spacing w:before="72" w:line="224" w:lineRule="auto"/>
        <w:jc w:val="center"/>
        <w:outlineLvl w:val="9"/>
        <w:rPr>
          <w:rFonts w:ascii="宋体" w:hAnsi="宋体" w:eastAsia="宋体" w:cs="宋体"/>
          <w:b/>
          <w:bCs/>
          <w:color w:val="auto"/>
          <w:spacing w:val="6"/>
          <w:sz w:val="35"/>
          <w:szCs w:val="35"/>
          <w:highlight w:val="none"/>
        </w:rPr>
      </w:pPr>
    </w:p>
    <w:p w14:paraId="51FFBCB2">
      <w:pPr>
        <w:spacing w:before="72" w:line="224" w:lineRule="auto"/>
        <w:jc w:val="center"/>
        <w:outlineLvl w:val="9"/>
        <w:rPr>
          <w:rFonts w:ascii="宋体" w:hAnsi="宋体" w:eastAsia="宋体" w:cs="宋体"/>
          <w:b/>
          <w:bCs/>
          <w:color w:val="auto"/>
          <w:spacing w:val="6"/>
          <w:sz w:val="35"/>
          <w:szCs w:val="35"/>
          <w:highlight w:val="none"/>
        </w:rPr>
      </w:pPr>
    </w:p>
    <w:p w14:paraId="6CBF72DF">
      <w:pPr>
        <w:spacing w:before="72" w:line="224" w:lineRule="auto"/>
        <w:jc w:val="center"/>
        <w:outlineLvl w:val="9"/>
        <w:rPr>
          <w:rFonts w:ascii="宋体" w:hAnsi="宋体" w:eastAsia="宋体" w:cs="宋体"/>
          <w:b/>
          <w:bCs/>
          <w:color w:val="auto"/>
          <w:spacing w:val="6"/>
          <w:sz w:val="35"/>
          <w:szCs w:val="35"/>
          <w:highlight w:val="none"/>
        </w:rPr>
      </w:pPr>
    </w:p>
    <w:p w14:paraId="73B94798">
      <w:pPr>
        <w:spacing w:before="72" w:line="224" w:lineRule="auto"/>
        <w:jc w:val="center"/>
        <w:outlineLvl w:val="9"/>
        <w:rPr>
          <w:rFonts w:ascii="宋体" w:hAnsi="宋体" w:eastAsia="宋体" w:cs="宋体"/>
          <w:b/>
          <w:bCs/>
          <w:color w:val="auto"/>
          <w:spacing w:val="6"/>
          <w:sz w:val="35"/>
          <w:szCs w:val="35"/>
          <w:highlight w:val="none"/>
        </w:rPr>
      </w:pPr>
    </w:p>
    <w:p w14:paraId="294E89DD">
      <w:pPr>
        <w:spacing w:before="72" w:line="224" w:lineRule="auto"/>
        <w:jc w:val="center"/>
        <w:outlineLvl w:val="9"/>
        <w:rPr>
          <w:rFonts w:ascii="宋体" w:hAnsi="宋体" w:eastAsia="宋体" w:cs="宋体"/>
          <w:b/>
          <w:bCs/>
          <w:color w:val="auto"/>
          <w:spacing w:val="6"/>
          <w:sz w:val="35"/>
          <w:szCs w:val="35"/>
          <w:highlight w:val="none"/>
        </w:rPr>
      </w:pPr>
    </w:p>
    <w:p w14:paraId="7F8596D1">
      <w:pPr>
        <w:spacing w:before="72" w:line="224" w:lineRule="auto"/>
        <w:jc w:val="center"/>
        <w:outlineLvl w:val="9"/>
        <w:rPr>
          <w:rFonts w:ascii="宋体" w:hAnsi="宋体" w:eastAsia="宋体" w:cs="宋体"/>
          <w:b/>
          <w:bCs/>
          <w:color w:val="auto"/>
          <w:spacing w:val="6"/>
          <w:sz w:val="35"/>
          <w:szCs w:val="35"/>
          <w:highlight w:val="none"/>
        </w:rPr>
      </w:pPr>
    </w:p>
    <w:p w14:paraId="7598E565">
      <w:pPr>
        <w:spacing w:before="72" w:line="224" w:lineRule="auto"/>
        <w:jc w:val="center"/>
        <w:outlineLvl w:val="9"/>
        <w:rPr>
          <w:rFonts w:ascii="宋体" w:hAnsi="宋体" w:eastAsia="宋体" w:cs="宋体"/>
          <w:b/>
          <w:bCs/>
          <w:color w:val="auto"/>
          <w:spacing w:val="6"/>
          <w:sz w:val="35"/>
          <w:szCs w:val="35"/>
          <w:highlight w:val="none"/>
        </w:rPr>
      </w:pPr>
    </w:p>
    <w:p w14:paraId="0164044D">
      <w:pPr>
        <w:spacing w:before="72" w:line="224" w:lineRule="auto"/>
        <w:jc w:val="center"/>
        <w:outlineLvl w:val="9"/>
        <w:rPr>
          <w:rFonts w:ascii="宋体" w:hAnsi="宋体" w:eastAsia="宋体" w:cs="宋体"/>
          <w:b/>
          <w:bCs/>
          <w:color w:val="auto"/>
          <w:spacing w:val="6"/>
          <w:sz w:val="35"/>
          <w:szCs w:val="35"/>
          <w:highlight w:val="none"/>
        </w:rPr>
      </w:pPr>
    </w:p>
    <w:p w14:paraId="7CA0783D">
      <w:pPr>
        <w:spacing w:before="72" w:line="224" w:lineRule="auto"/>
        <w:jc w:val="center"/>
        <w:outlineLvl w:val="9"/>
        <w:rPr>
          <w:rFonts w:ascii="宋体" w:hAnsi="宋体" w:eastAsia="宋体" w:cs="宋体"/>
          <w:b/>
          <w:bCs/>
          <w:color w:val="auto"/>
          <w:spacing w:val="6"/>
          <w:sz w:val="35"/>
          <w:szCs w:val="35"/>
          <w:highlight w:val="none"/>
        </w:rPr>
      </w:pPr>
    </w:p>
    <w:p w14:paraId="10A64752">
      <w:pPr>
        <w:spacing w:before="72" w:line="224" w:lineRule="auto"/>
        <w:jc w:val="center"/>
        <w:outlineLvl w:val="9"/>
        <w:rPr>
          <w:rFonts w:ascii="宋体" w:hAnsi="宋体" w:eastAsia="宋体" w:cs="宋体"/>
          <w:b/>
          <w:bCs/>
          <w:color w:val="auto"/>
          <w:spacing w:val="6"/>
          <w:sz w:val="35"/>
          <w:szCs w:val="35"/>
          <w:highlight w:val="none"/>
        </w:rPr>
      </w:pPr>
    </w:p>
    <w:p w14:paraId="48324DA6">
      <w:pPr>
        <w:spacing w:before="72" w:line="224" w:lineRule="auto"/>
        <w:jc w:val="center"/>
        <w:outlineLvl w:val="9"/>
        <w:rPr>
          <w:rFonts w:ascii="宋体" w:hAnsi="宋体" w:eastAsia="宋体" w:cs="宋体"/>
          <w:b/>
          <w:bCs/>
          <w:color w:val="auto"/>
          <w:spacing w:val="6"/>
          <w:sz w:val="35"/>
          <w:szCs w:val="35"/>
          <w:highlight w:val="none"/>
        </w:rPr>
      </w:pPr>
    </w:p>
    <w:p w14:paraId="288C275A">
      <w:pPr>
        <w:spacing w:before="72" w:line="224" w:lineRule="auto"/>
        <w:jc w:val="center"/>
        <w:outlineLvl w:val="9"/>
        <w:rPr>
          <w:rFonts w:ascii="宋体" w:hAnsi="宋体" w:eastAsia="宋体" w:cs="宋体"/>
          <w:b/>
          <w:bCs/>
          <w:color w:val="auto"/>
          <w:spacing w:val="6"/>
          <w:sz w:val="35"/>
          <w:szCs w:val="35"/>
          <w:highlight w:val="none"/>
        </w:rPr>
      </w:pPr>
    </w:p>
    <w:p w14:paraId="3200F9D3">
      <w:pPr>
        <w:spacing w:before="72" w:line="224" w:lineRule="auto"/>
        <w:jc w:val="center"/>
        <w:outlineLvl w:val="9"/>
        <w:rPr>
          <w:rFonts w:ascii="宋体" w:hAnsi="宋体" w:eastAsia="宋体" w:cs="宋体"/>
          <w:b/>
          <w:bCs/>
          <w:color w:val="auto"/>
          <w:spacing w:val="6"/>
          <w:sz w:val="35"/>
          <w:szCs w:val="35"/>
          <w:highlight w:val="none"/>
        </w:rPr>
      </w:pPr>
    </w:p>
    <w:p w14:paraId="4AD1C325">
      <w:pPr>
        <w:spacing w:before="72" w:line="224" w:lineRule="auto"/>
        <w:jc w:val="center"/>
        <w:outlineLvl w:val="9"/>
        <w:rPr>
          <w:rFonts w:ascii="宋体" w:hAnsi="宋体" w:eastAsia="宋体" w:cs="宋体"/>
          <w:b/>
          <w:bCs/>
          <w:color w:val="auto"/>
          <w:spacing w:val="6"/>
          <w:sz w:val="35"/>
          <w:szCs w:val="35"/>
          <w:highlight w:val="none"/>
        </w:rPr>
      </w:pPr>
    </w:p>
    <w:p w14:paraId="10155EB4">
      <w:pPr>
        <w:spacing w:before="72" w:line="224" w:lineRule="auto"/>
        <w:jc w:val="center"/>
        <w:outlineLvl w:val="9"/>
        <w:rPr>
          <w:rFonts w:ascii="宋体" w:hAnsi="宋体" w:eastAsia="宋体" w:cs="宋体"/>
          <w:b/>
          <w:bCs/>
          <w:color w:val="auto"/>
          <w:spacing w:val="6"/>
          <w:sz w:val="35"/>
          <w:szCs w:val="35"/>
          <w:highlight w:val="none"/>
        </w:rPr>
      </w:pPr>
    </w:p>
    <w:p w14:paraId="4F708B32">
      <w:pPr>
        <w:spacing w:before="72" w:line="224" w:lineRule="auto"/>
        <w:jc w:val="center"/>
        <w:outlineLvl w:val="9"/>
        <w:rPr>
          <w:rFonts w:ascii="宋体" w:hAnsi="宋体" w:eastAsia="宋体" w:cs="宋体"/>
          <w:b/>
          <w:bCs/>
          <w:color w:val="auto"/>
          <w:spacing w:val="6"/>
          <w:sz w:val="35"/>
          <w:szCs w:val="35"/>
          <w:highlight w:val="none"/>
        </w:rPr>
      </w:pPr>
    </w:p>
    <w:p w14:paraId="2C8B2B9C">
      <w:pPr>
        <w:spacing w:before="72" w:line="224" w:lineRule="auto"/>
        <w:jc w:val="center"/>
        <w:outlineLvl w:val="9"/>
        <w:rPr>
          <w:rFonts w:ascii="宋体" w:hAnsi="宋体" w:eastAsia="宋体" w:cs="宋体"/>
          <w:b/>
          <w:bCs/>
          <w:color w:val="auto"/>
          <w:spacing w:val="6"/>
          <w:sz w:val="35"/>
          <w:szCs w:val="35"/>
          <w:highlight w:val="none"/>
        </w:rPr>
      </w:pPr>
    </w:p>
    <w:p w14:paraId="38358E70">
      <w:pPr>
        <w:spacing w:before="72" w:line="224" w:lineRule="auto"/>
        <w:jc w:val="center"/>
        <w:outlineLvl w:val="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第四篇</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询价项目商务需求</w:t>
      </w:r>
    </w:p>
    <w:p w14:paraId="754819B4">
      <w:pPr>
        <w:pStyle w:val="6"/>
        <w:spacing w:line="390" w:lineRule="auto"/>
        <w:rPr>
          <w:color w:val="auto"/>
          <w:highlight w:val="none"/>
        </w:rPr>
      </w:pPr>
    </w:p>
    <w:p w14:paraId="0C753C5F">
      <w:pPr>
        <w:spacing w:before="78" w:line="241" w:lineRule="auto"/>
        <w:ind w:left="511"/>
        <w:outlineLvl w:val="9"/>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一、工期、地点、验收方式</w:t>
      </w:r>
    </w:p>
    <w:p w14:paraId="3F40D722">
      <w:pPr>
        <w:spacing w:before="94" w:line="221" w:lineRule="auto"/>
        <w:ind w:left="517"/>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（一）工期：</w:t>
      </w:r>
      <w:r>
        <w:rPr>
          <w:rFonts w:hint="eastAsia" w:ascii="宋体" w:hAnsi="宋体" w:eastAsia="宋体" w:cs="宋体"/>
          <w:color w:val="auto"/>
          <w:spacing w:val="-7"/>
          <w:sz w:val="24"/>
          <w:szCs w:val="24"/>
          <w:highlight w:val="none"/>
          <w:lang w:val="en-US" w:eastAsia="zh-CN"/>
        </w:rPr>
        <w:t>15</w:t>
      </w:r>
      <w:r>
        <w:rPr>
          <w:rFonts w:ascii="宋体" w:hAnsi="宋体" w:eastAsia="宋体" w:cs="宋体"/>
          <w:color w:val="auto"/>
          <w:spacing w:val="-7"/>
          <w:sz w:val="24"/>
          <w:szCs w:val="24"/>
          <w:highlight w:val="none"/>
        </w:rPr>
        <w:t>日历天。</w:t>
      </w:r>
    </w:p>
    <w:p w14:paraId="0779B19E">
      <w:pPr>
        <w:spacing w:before="114" w:line="219" w:lineRule="auto"/>
        <w:ind w:left="517"/>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（二）地点：采购人指定地点。</w:t>
      </w:r>
    </w:p>
    <w:p w14:paraId="11989A20">
      <w:pPr>
        <w:spacing w:before="116" w:line="219" w:lineRule="auto"/>
        <w:ind w:left="517"/>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（三）验收方式：由采购人自行组织验收。</w:t>
      </w:r>
    </w:p>
    <w:p w14:paraId="3645AC79">
      <w:pPr>
        <w:spacing w:before="103" w:line="242" w:lineRule="auto"/>
        <w:ind w:left="510"/>
        <w:outlineLvl w:val="9"/>
        <w:rPr>
          <w:rFonts w:ascii="黑体" w:hAnsi="黑体" w:eastAsia="黑体" w:cs="黑体"/>
          <w:color w:val="auto"/>
          <w:sz w:val="24"/>
          <w:szCs w:val="24"/>
          <w:highlight w:val="none"/>
        </w:rPr>
      </w:pPr>
      <w:bookmarkStart w:id="42" w:name="bookmark32"/>
      <w:bookmarkEnd w:id="42"/>
      <w:r>
        <w:rPr>
          <w:rFonts w:ascii="黑体" w:hAnsi="黑体" w:eastAsia="黑体" w:cs="黑体"/>
          <w:color w:val="auto"/>
          <w:spacing w:val="-2"/>
          <w:sz w:val="24"/>
          <w:szCs w:val="24"/>
          <w:highlight w:val="none"/>
        </w:rPr>
        <w:t>二、报价要求</w:t>
      </w:r>
    </w:p>
    <w:p w14:paraId="620CD06A">
      <w:pPr>
        <w:spacing w:before="94" w:line="308" w:lineRule="auto"/>
        <w:ind w:left="25" w:right="81" w:firstLine="482"/>
        <w:jc w:val="both"/>
        <w:outlineLvl w:val="9"/>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本次报价须为人民币报价，报价包括包含测绘、数据处理、备案协助、专家评审等完成本项目所需的一切费用。因供应商自身原因造成漏报、少报皆由其自行承担责任，采购人不再补偿。</w:t>
      </w:r>
    </w:p>
    <w:p w14:paraId="169D8EBF">
      <w:pPr>
        <w:spacing w:before="107" w:line="241" w:lineRule="auto"/>
        <w:ind w:left="514"/>
        <w:outlineLvl w:val="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三、付款方式</w:t>
      </w:r>
    </w:p>
    <w:p w14:paraId="1F31090E">
      <w:pPr>
        <w:spacing w:before="107" w:line="242" w:lineRule="auto"/>
        <w:ind w:firstLine="720" w:firstLineChars="300"/>
        <w:outlineLvl w:val="0"/>
        <w:rPr>
          <w:rFonts w:hint="eastAsia" w:eastAsia="宋体"/>
          <w:color w:val="auto"/>
          <w:sz w:val="24"/>
          <w:szCs w:val="24"/>
          <w:highlight w:val="none"/>
          <w:lang w:val="en-US" w:eastAsia="zh-CN"/>
        </w:rPr>
      </w:pPr>
      <w:bookmarkStart w:id="43" w:name="bookmark33"/>
      <w:bookmarkEnd w:id="43"/>
      <w:r>
        <w:rPr>
          <w:rFonts w:hint="eastAsia" w:eastAsia="宋体"/>
          <w:color w:val="auto"/>
          <w:sz w:val="24"/>
          <w:szCs w:val="24"/>
          <w:highlight w:val="none"/>
          <w:lang w:val="en-US" w:eastAsia="zh-CN"/>
        </w:rPr>
        <w:t>1、支付约定：</w:t>
      </w:r>
      <w:r>
        <w:rPr>
          <w:rFonts w:hint="eastAsia" w:eastAsia="宋体"/>
          <w:color w:val="auto"/>
          <w:sz w:val="24"/>
          <w:szCs w:val="24"/>
          <w:highlight w:val="none"/>
          <w:lang w:val="en-US" w:eastAsia="zh-CN"/>
        </w:rPr>
        <w:t>乙方向甲方</w:t>
      </w:r>
      <w:r>
        <w:rPr>
          <w:rFonts w:hint="eastAsia" w:eastAsia="宋体"/>
          <w:color w:val="auto"/>
          <w:sz w:val="24"/>
          <w:szCs w:val="24"/>
          <w:highlight w:val="none"/>
          <w:lang w:val="en-US" w:eastAsia="zh-CN"/>
        </w:rPr>
        <w:t>提交符合《房产测量规范》（GB/T 17986）及重庆市地方标准的</w:t>
      </w:r>
      <w:r>
        <w:rPr>
          <w:rFonts w:hint="eastAsia" w:eastAsia="宋体"/>
          <w:color w:val="auto"/>
          <w:sz w:val="24"/>
          <w:szCs w:val="24"/>
          <w:highlight w:val="none"/>
          <w:lang w:val="en-US" w:eastAsia="zh-CN"/>
        </w:rPr>
        <w:t>电子测绘报告（ 电子文档 1 份）和足额普通增值税发票；甲方在 5个工作日内一次性支付合同全款。</w:t>
      </w:r>
    </w:p>
    <w:p w14:paraId="1F850AAE">
      <w:pPr>
        <w:spacing w:before="107" w:line="242" w:lineRule="auto"/>
        <w:ind w:firstLine="720" w:firstLineChars="300"/>
        <w:outlineLvl w:val="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2、支付后，乙方在2日内向甲方</w:t>
      </w:r>
      <w:r>
        <w:rPr>
          <w:rFonts w:hint="eastAsia" w:eastAsia="宋体"/>
          <w:color w:val="auto"/>
          <w:sz w:val="24"/>
          <w:szCs w:val="24"/>
          <w:highlight w:val="none"/>
          <w:lang w:val="en-US" w:eastAsia="zh-CN"/>
        </w:rPr>
        <w:t>提交符合《房产测量规范》（GB/T 17986）及重庆市地方标准的原件纸质测绘报告4份，协助甲方</w:t>
      </w:r>
      <w:r>
        <w:rPr>
          <w:rFonts w:hint="eastAsia" w:eastAsia="宋体"/>
          <w:color w:val="auto"/>
          <w:sz w:val="24"/>
          <w:szCs w:val="24"/>
          <w:highlight w:val="none"/>
          <w:lang w:val="en-US" w:eastAsia="zh-CN"/>
        </w:rPr>
        <w:t>完成楼盘表数据导入重庆市不动产登记系统，且经主管部门核验无误。</w:t>
      </w:r>
    </w:p>
    <w:p w14:paraId="2125A847">
      <w:pPr>
        <w:spacing w:before="107" w:line="242" w:lineRule="auto"/>
        <w:ind w:firstLine="496" w:firstLineChars="200"/>
        <w:outlineLvl w:val="9"/>
        <w:rPr>
          <w:rFonts w:hint="eastAsia" w:ascii="方正黑体_GBK" w:hAnsi="方正黑体_GBK" w:eastAsia="方正黑体_GBK" w:cs="方正黑体_GBK"/>
          <w:color w:val="auto"/>
          <w:spacing w:val="4"/>
          <w:sz w:val="24"/>
          <w:szCs w:val="24"/>
          <w:highlight w:val="none"/>
          <w:lang w:val="en-US" w:eastAsia="zh-CN"/>
        </w:rPr>
      </w:pPr>
      <w:r>
        <w:rPr>
          <w:rFonts w:hint="eastAsia" w:ascii="方正黑体_GBK" w:hAnsi="方正黑体_GBK" w:eastAsia="方正黑体_GBK" w:cs="方正黑体_GBK"/>
          <w:color w:val="auto"/>
          <w:spacing w:val="4"/>
          <w:sz w:val="24"/>
          <w:szCs w:val="24"/>
          <w:highlight w:val="none"/>
          <w:lang w:val="en-US" w:eastAsia="zh-CN"/>
        </w:rPr>
        <w:t>四、知识产权</w:t>
      </w:r>
    </w:p>
    <w:p w14:paraId="7EEE1259">
      <w:pPr>
        <w:spacing w:before="96" w:line="305" w:lineRule="auto"/>
        <w:ind w:left="25" w:right="81" w:firstLine="479"/>
        <w:jc w:val="both"/>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采购人在中华人民共和国境内使用成交供应商提供的货物及服务时免受第</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三方提出的侵犯其专利权或其它知识产权的起诉。如果第三方提出侵权</w:t>
      </w:r>
      <w:r>
        <w:rPr>
          <w:rFonts w:ascii="宋体" w:hAnsi="宋体" w:eastAsia="宋体" w:cs="宋体"/>
          <w:color w:val="auto"/>
          <w:spacing w:val="-4"/>
          <w:sz w:val="24"/>
          <w:szCs w:val="24"/>
          <w:highlight w:val="none"/>
        </w:rPr>
        <w:t>指控，成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交供应商应承担由此而引起的一切法律责任和费用。</w:t>
      </w:r>
    </w:p>
    <w:p w14:paraId="5FDAD22C">
      <w:pPr>
        <w:spacing w:before="1" w:line="242" w:lineRule="auto"/>
        <w:ind w:left="508"/>
        <w:outlineLvl w:val="9"/>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rPr>
        <w:t>五、其他</w:t>
      </w:r>
    </w:p>
    <w:p w14:paraId="23C657E7">
      <w:pPr>
        <w:spacing w:before="122" w:line="219" w:lineRule="auto"/>
        <w:ind w:left="28" w:firstLine="488" w:firstLineChars="200"/>
        <w:outlineLvl w:val="9"/>
        <w:rPr>
          <w:rFonts w:ascii="宋体" w:hAnsi="宋体" w:eastAsia="宋体" w:cs="宋体"/>
          <w:color w:val="auto"/>
          <w:sz w:val="24"/>
          <w:szCs w:val="24"/>
          <w:highlight w:val="none"/>
        </w:rPr>
      </w:pPr>
      <w:bookmarkStart w:id="44" w:name="_Toc2804"/>
      <w:r>
        <w:rPr>
          <w:rFonts w:ascii="宋体" w:hAnsi="宋体" w:eastAsia="宋体" w:cs="宋体"/>
          <w:color w:val="auto"/>
          <w:spacing w:val="2"/>
          <w:sz w:val="24"/>
          <w:szCs w:val="24"/>
          <w:highlight w:val="none"/>
        </w:rPr>
        <w:t>（一）供应商必须在响应文件中对以上条款和服务承诺明</w:t>
      </w:r>
      <w:r>
        <w:rPr>
          <w:rFonts w:ascii="宋体" w:hAnsi="宋体" w:eastAsia="宋体" w:cs="宋体"/>
          <w:color w:val="auto"/>
          <w:spacing w:val="1"/>
          <w:sz w:val="24"/>
          <w:szCs w:val="24"/>
          <w:highlight w:val="none"/>
        </w:rPr>
        <w:t>确列出，承诺内</w:t>
      </w:r>
      <w:r>
        <w:rPr>
          <w:rFonts w:ascii="宋体" w:hAnsi="宋体" w:eastAsia="宋体" w:cs="宋体"/>
          <w:color w:val="auto"/>
          <w:spacing w:val="-1"/>
          <w:sz w:val="24"/>
          <w:szCs w:val="24"/>
          <w:highlight w:val="none"/>
        </w:rPr>
        <w:t>容必须达到本篇及询价采购文件其他条款的要求。</w:t>
      </w:r>
      <w:bookmarkEnd w:id="44"/>
    </w:p>
    <w:p w14:paraId="1424675C">
      <w:pPr>
        <w:spacing w:before="117" w:line="219" w:lineRule="auto"/>
        <w:ind w:firstLine="476" w:firstLineChars="200"/>
        <w:outlineLvl w:val="9"/>
        <w:rPr>
          <w:rFonts w:ascii="宋体" w:hAnsi="宋体" w:eastAsia="宋体" w:cs="宋体"/>
          <w:color w:val="auto"/>
          <w:sz w:val="24"/>
          <w:szCs w:val="24"/>
          <w:highlight w:val="none"/>
        </w:rPr>
      </w:pPr>
      <w:bookmarkStart w:id="45" w:name="_Toc11083"/>
      <w:r>
        <w:rPr>
          <w:rFonts w:ascii="宋体" w:hAnsi="宋体" w:eastAsia="宋体" w:cs="宋体"/>
          <w:color w:val="auto"/>
          <w:spacing w:val="-1"/>
          <w:sz w:val="24"/>
          <w:szCs w:val="24"/>
          <w:highlight w:val="none"/>
        </w:rPr>
        <w:t>（二）其他未尽事宜由供需双方在采购合同中详细约定。</w:t>
      </w:r>
      <w:bookmarkEnd w:id="45"/>
    </w:p>
    <w:p w14:paraId="5FF1DC90">
      <w:pPr>
        <w:spacing w:before="93" w:line="219" w:lineRule="auto"/>
        <w:ind w:left="577"/>
        <w:outlineLvl w:val="9"/>
        <w:rPr>
          <w:rFonts w:ascii="宋体" w:hAnsi="宋体" w:eastAsia="宋体" w:cs="宋体"/>
          <w:color w:val="auto"/>
          <w:sz w:val="24"/>
          <w:szCs w:val="24"/>
          <w:highlight w:val="none"/>
        </w:rPr>
      </w:pPr>
    </w:p>
    <w:p w14:paraId="7A3DC030">
      <w:pPr>
        <w:spacing w:line="219" w:lineRule="auto"/>
        <w:outlineLvl w:val="9"/>
        <w:rPr>
          <w:rFonts w:ascii="宋体" w:hAnsi="宋体" w:eastAsia="宋体" w:cs="宋体"/>
          <w:color w:val="auto"/>
          <w:sz w:val="24"/>
          <w:szCs w:val="24"/>
          <w:highlight w:val="none"/>
        </w:rPr>
        <w:sectPr>
          <w:pgSz w:w="11906" w:h="16839"/>
          <w:pgMar w:top="1378" w:right="1720" w:bottom="1222" w:left="1785" w:header="0" w:footer="853" w:gutter="0"/>
          <w:pgNumType w:fmt="decimal"/>
          <w:cols w:space="720" w:num="1"/>
          <w:titlePg/>
        </w:sectPr>
      </w:pPr>
    </w:p>
    <w:p w14:paraId="4945580C">
      <w:pPr>
        <w:numPr>
          <w:ilvl w:val="0"/>
          <w:numId w:val="1"/>
        </w:numPr>
        <w:spacing w:line="219" w:lineRule="auto"/>
        <w:jc w:val="center"/>
        <w:rPr>
          <w:rFonts w:ascii="黑体" w:hAnsi="黑体" w:eastAsia="黑体" w:cs="黑体"/>
          <w:color w:val="auto"/>
          <w:spacing w:val="3"/>
          <w:position w:val="1"/>
          <w:sz w:val="35"/>
          <w:szCs w:val="35"/>
          <w:highlight w:val="none"/>
        </w:rPr>
      </w:pPr>
      <w:r>
        <w:rPr>
          <w:rFonts w:ascii="黑体" w:hAnsi="黑体" w:eastAsia="黑体" w:cs="黑体"/>
          <w:color w:val="auto"/>
          <w:spacing w:val="3"/>
          <w:position w:val="1"/>
          <w:sz w:val="35"/>
          <w:szCs w:val="35"/>
          <w:highlight w:val="none"/>
        </w:rPr>
        <w:t>合同主要条款和格式合同（</w:t>
      </w:r>
      <w:r>
        <w:rPr>
          <w:rFonts w:ascii="黑体" w:hAnsi="黑体" w:eastAsia="黑体" w:cs="黑体"/>
          <w:color w:val="auto"/>
          <w:spacing w:val="-77"/>
          <w:position w:val="1"/>
          <w:sz w:val="35"/>
          <w:szCs w:val="35"/>
          <w:highlight w:val="none"/>
        </w:rPr>
        <w:t xml:space="preserve"> </w:t>
      </w:r>
      <w:r>
        <w:rPr>
          <w:rFonts w:ascii="黑体" w:hAnsi="黑体" w:eastAsia="黑体" w:cs="黑体"/>
          <w:color w:val="auto"/>
          <w:spacing w:val="3"/>
          <w:position w:val="1"/>
          <w:sz w:val="35"/>
          <w:szCs w:val="35"/>
          <w:highlight w:val="none"/>
        </w:rPr>
        <w:t>样本</w:t>
      </w:r>
      <w:r>
        <w:rPr>
          <w:rFonts w:ascii="黑体" w:hAnsi="黑体" w:eastAsia="黑体" w:cs="黑体"/>
          <w:color w:val="auto"/>
          <w:spacing w:val="-88"/>
          <w:position w:val="1"/>
          <w:sz w:val="35"/>
          <w:szCs w:val="35"/>
          <w:highlight w:val="none"/>
        </w:rPr>
        <w:t xml:space="preserve"> </w:t>
      </w:r>
      <w:r>
        <w:rPr>
          <w:rFonts w:ascii="黑体" w:hAnsi="黑体" w:eastAsia="黑体" w:cs="黑体"/>
          <w:color w:val="auto"/>
          <w:spacing w:val="3"/>
          <w:position w:val="1"/>
          <w:sz w:val="35"/>
          <w:szCs w:val="35"/>
          <w:highlight w:val="none"/>
        </w:rPr>
        <w:t>）</w:t>
      </w:r>
    </w:p>
    <w:p w14:paraId="30E87C97">
      <w:pPr>
        <w:numPr>
          <w:ilvl w:val="0"/>
          <w:numId w:val="0"/>
        </w:numPr>
        <w:kinsoku w:val="0"/>
        <w:autoSpaceDE w:val="0"/>
        <w:autoSpaceDN w:val="0"/>
        <w:adjustRightInd w:val="0"/>
        <w:snapToGrid w:val="0"/>
        <w:spacing w:line="219" w:lineRule="auto"/>
        <w:jc w:val="center"/>
        <w:textAlignment w:val="baseline"/>
        <w:rPr>
          <w:rFonts w:ascii="黑体" w:hAnsi="黑体" w:eastAsia="黑体" w:cs="黑体"/>
          <w:color w:val="auto"/>
          <w:spacing w:val="3"/>
          <w:position w:val="1"/>
          <w:sz w:val="35"/>
          <w:szCs w:val="35"/>
          <w:highlight w:val="none"/>
        </w:rPr>
      </w:pPr>
    </w:p>
    <w:p w14:paraId="64BF3837">
      <w:pPr>
        <w:rPr>
          <w:rFonts w:eastAsia="黑体"/>
          <w:color w:val="auto"/>
          <w:sz w:val="28"/>
          <w:highlight w:val="none"/>
        </w:rPr>
      </w:pPr>
      <w:r>
        <w:rPr>
          <w:rFonts w:eastAsia="黑体"/>
          <w:color w:val="auto"/>
          <w:sz w:val="28"/>
          <w:highlight w:val="none"/>
        </w:rPr>
        <w:t>合同编号：</w:t>
      </w:r>
    </w:p>
    <w:p w14:paraId="718E22E4">
      <w:pPr>
        <w:jc w:val="left"/>
        <w:rPr>
          <w:rFonts w:eastAsia="黑体"/>
          <w:color w:val="auto"/>
          <w:sz w:val="52"/>
          <w:highlight w:val="none"/>
        </w:rPr>
      </w:pPr>
    </w:p>
    <w:p w14:paraId="455F1755">
      <w:pPr>
        <w:jc w:val="left"/>
        <w:rPr>
          <w:rFonts w:eastAsia="黑体"/>
          <w:color w:val="auto"/>
          <w:sz w:val="52"/>
          <w:highlight w:val="none"/>
        </w:rPr>
      </w:pPr>
    </w:p>
    <w:p w14:paraId="64EFC066">
      <w:pPr>
        <w:jc w:val="center"/>
        <w:rPr>
          <w:rFonts w:eastAsia="黑体"/>
          <w:color w:val="auto"/>
          <w:sz w:val="52"/>
          <w:highlight w:val="none"/>
        </w:rPr>
      </w:pPr>
      <w:r>
        <w:rPr>
          <w:rFonts w:eastAsia="黑体"/>
          <w:color w:val="auto"/>
          <w:sz w:val="52"/>
          <w:highlight w:val="none"/>
        </w:rPr>
        <w:t>技术服务合同</w:t>
      </w:r>
    </w:p>
    <w:p w14:paraId="3672FB61">
      <w:pPr>
        <w:jc w:val="left"/>
        <w:rPr>
          <w:rFonts w:eastAsia="楷体_GB2312"/>
          <w:color w:val="auto"/>
          <w:sz w:val="36"/>
          <w:highlight w:val="none"/>
        </w:rPr>
      </w:pPr>
    </w:p>
    <w:p w14:paraId="22E43DEC">
      <w:pPr>
        <w:jc w:val="left"/>
        <w:rPr>
          <w:rFonts w:eastAsia="楷体_GB2312"/>
          <w:color w:val="auto"/>
          <w:sz w:val="36"/>
          <w:highlight w:val="none"/>
        </w:rPr>
      </w:pPr>
    </w:p>
    <w:p w14:paraId="76DCF881">
      <w:pPr>
        <w:jc w:val="left"/>
        <w:rPr>
          <w:rFonts w:eastAsia="楷体_GB2312"/>
          <w:color w:val="auto"/>
          <w:sz w:val="36"/>
          <w:highlight w:val="none"/>
        </w:rPr>
      </w:pPr>
    </w:p>
    <w:p w14:paraId="25BE6A95">
      <w:pPr>
        <w:jc w:val="left"/>
        <w:rPr>
          <w:rFonts w:eastAsia="楷体_GB2312"/>
          <w:color w:val="auto"/>
          <w:sz w:val="36"/>
          <w:highlight w:val="none"/>
        </w:rPr>
      </w:pPr>
    </w:p>
    <w:p w14:paraId="6AF5BE21">
      <w:pPr>
        <w:jc w:val="left"/>
        <w:rPr>
          <w:rFonts w:eastAsia="楷体_GB2312"/>
          <w:color w:val="auto"/>
          <w:sz w:val="36"/>
          <w:highlight w:val="none"/>
        </w:rPr>
      </w:pPr>
    </w:p>
    <w:p w14:paraId="6343FA74">
      <w:pPr>
        <w:ind w:firstLine="1273" w:firstLineChars="398"/>
        <w:rPr>
          <w:color w:val="auto"/>
          <w:sz w:val="32"/>
          <w:szCs w:val="32"/>
          <w:highlight w:val="none"/>
          <w:u w:val="single"/>
        </w:rPr>
      </w:pPr>
      <w:r>
        <w:rPr>
          <w:color w:val="auto"/>
          <w:sz w:val="32"/>
          <w:szCs w:val="32"/>
          <w:highlight w:val="none"/>
        </w:rPr>
        <w:t>项目名称：</w:t>
      </w:r>
      <w:r>
        <w:rPr>
          <w:color w:val="auto"/>
          <w:sz w:val="32"/>
          <w:szCs w:val="32"/>
          <w:highlight w:val="none"/>
          <w:u w:val="single"/>
        </w:rPr>
        <w:t xml:space="preserve">                             </w:t>
      </w:r>
    </w:p>
    <w:p w14:paraId="29C60475">
      <w:pPr>
        <w:ind w:firstLine="1273" w:firstLineChars="398"/>
        <w:rPr>
          <w:color w:val="auto"/>
          <w:sz w:val="32"/>
          <w:szCs w:val="32"/>
          <w:highlight w:val="none"/>
          <w:u w:val="single"/>
        </w:rPr>
      </w:pPr>
    </w:p>
    <w:p w14:paraId="7BCE5CB4">
      <w:pPr>
        <w:ind w:firstLine="1273" w:firstLineChars="398"/>
        <w:rPr>
          <w:rFonts w:hint="eastAsia"/>
          <w:color w:val="auto"/>
          <w:sz w:val="32"/>
          <w:szCs w:val="32"/>
          <w:highlight w:val="none"/>
          <w:u w:val="single"/>
        </w:rPr>
      </w:pPr>
      <w:r>
        <w:rPr>
          <w:color w:val="auto"/>
          <w:sz w:val="32"/>
          <w:szCs w:val="32"/>
          <w:highlight w:val="none"/>
        </w:rPr>
        <w:t>委 托 方：</w:t>
      </w:r>
      <w:r>
        <w:rPr>
          <w:color w:val="auto"/>
          <w:sz w:val="32"/>
          <w:szCs w:val="32"/>
          <w:highlight w:val="none"/>
          <w:u w:val="single"/>
        </w:rPr>
        <w:t xml:space="preserve">                             </w:t>
      </w:r>
    </w:p>
    <w:p w14:paraId="6FF585B9">
      <w:pPr>
        <w:ind w:firstLine="1273" w:firstLineChars="398"/>
        <w:rPr>
          <w:color w:val="auto"/>
          <w:sz w:val="32"/>
          <w:szCs w:val="32"/>
          <w:highlight w:val="none"/>
          <w:u w:val="single"/>
        </w:rPr>
      </w:pPr>
      <w:r>
        <w:rPr>
          <w:color w:val="auto"/>
          <w:sz w:val="32"/>
          <w:szCs w:val="32"/>
          <w:highlight w:val="none"/>
        </w:rPr>
        <w:t xml:space="preserve">（甲 方） </w:t>
      </w:r>
    </w:p>
    <w:p w14:paraId="33B13B3F">
      <w:pPr>
        <w:ind w:firstLine="1273" w:firstLineChars="398"/>
        <w:rPr>
          <w:color w:val="auto"/>
          <w:sz w:val="32"/>
          <w:szCs w:val="32"/>
          <w:highlight w:val="none"/>
          <w:u w:val="single"/>
        </w:rPr>
      </w:pPr>
    </w:p>
    <w:p w14:paraId="031F7142">
      <w:pPr>
        <w:ind w:firstLine="1273" w:firstLineChars="398"/>
        <w:rPr>
          <w:rFonts w:hint="default" w:eastAsia="宋体"/>
          <w:color w:val="auto"/>
          <w:sz w:val="32"/>
          <w:szCs w:val="32"/>
          <w:highlight w:val="none"/>
          <w:u w:val="single"/>
          <w:lang w:val="en-US" w:eastAsia="zh-CN"/>
        </w:rPr>
      </w:pPr>
      <w:r>
        <w:rPr>
          <w:color w:val="auto"/>
          <w:sz w:val="32"/>
          <w:szCs w:val="32"/>
          <w:highlight w:val="none"/>
        </w:rPr>
        <w:t>受 托 方：</w:t>
      </w:r>
      <w:r>
        <w:rPr>
          <w:rFonts w:hint="eastAsia"/>
          <w:color w:val="auto"/>
          <w:sz w:val="32"/>
          <w:szCs w:val="32"/>
          <w:highlight w:val="none"/>
          <w:u w:val="single"/>
          <w:lang w:val="en-US" w:eastAsia="zh-CN"/>
        </w:rPr>
        <w:t xml:space="preserve">                             </w:t>
      </w:r>
    </w:p>
    <w:p w14:paraId="718E5A2A">
      <w:pPr>
        <w:ind w:firstLine="1273" w:firstLineChars="398"/>
        <w:rPr>
          <w:rFonts w:hint="eastAsia"/>
          <w:color w:val="auto"/>
          <w:sz w:val="32"/>
          <w:szCs w:val="32"/>
          <w:highlight w:val="none"/>
        </w:rPr>
      </w:pPr>
      <w:r>
        <w:rPr>
          <w:color w:val="auto"/>
          <w:sz w:val="32"/>
          <w:szCs w:val="32"/>
          <w:highlight w:val="none"/>
        </w:rPr>
        <w:t xml:space="preserve">（乙 方） </w:t>
      </w:r>
    </w:p>
    <w:p w14:paraId="137C7662">
      <w:pPr>
        <w:ind w:firstLine="1273" w:firstLineChars="398"/>
        <w:rPr>
          <w:color w:val="auto"/>
          <w:sz w:val="32"/>
          <w:szCs w:val="32"/>
          <w:highlight w:val="none"/>
          <w:u w:val="single"/>
        </w:rPr>
      </w:pPr>
    </w:p>
    <w:p w14:paraId="13447B3E">
      <w:pPr>
        <w:ind w:firstLine="1273" w:firstLineChars="398"/>
        <w:rPr>
          <w:color w:val="auto"/>
          <w:sz w:val="32"/>
          <w:szCs w:val="32"/>
          <w:highlight w:val="none"/>
          <w:u w:val="single"/>
        </w:rPr>
      </w:pPr>
      <w:r>
        <w:rPr>
          <w:color w:val="auto"/>
          <w:sz w:val="32"/>
          <w:szCs w:val="32"/>
          <w:highlight w:val="none"/>
        </w:rPr>
        <w:t>签订时间：</w:t>
      </w: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14:paraId="55F881CA">
      <w:pPr>
        <w:ind w:firstLine="1273" w:firstLineChars="398"/>
        <w:rPr>
          <w:rFonts w:hint="eastAsia"/>
          <w:color w:val="auto"/>
          <w:sz w:val="32"/>
          <w:szCs w:val="32"/>
          <w:highlight w:val="none"/>
        </w:rPr>
      </w:pPr>
      <w:r>
        <w:rPr>
          <w:color w:val="auto"/>
          <w:sz w:val="32"/>
          <w:szCs w:val="32"/>
          <w:highlight w:val="none"/>
        </w:rPr>
        <w:t xml:space="preserve">      </w:t>
      </w:r>
    </w:p>
    <w:p w14:paraId="35BC30D0">
      <w:pPr>
        <w:ind w:firstLine="1273" w:firstLineChars="398"/>
        <w:rPr>
          <w:color w:val="auto"/>
          <w:sz w:val="32"/>
          <w:szCs w:val="32"/>
          <w:highlight w:val="none"/>
        </w:rPr>
      </w:pPr>
      <w:r>
        <w:rPr>
          <w:color w:val="auto"/>
          <w:sz w:val="32"/>
          <w:szCs w:val="32"/>
          <w:highlight w:val="none"/>
        </w:rPr>
        <w:t>签订地点：</w:t>
      </w:r>
      <w:r>
        <w:rPr>
          <w:color w:val="auto"/>
          <w:sz w:val="32"/>
          <w:szCs w:val="32"/>
          <w:highlight w:val="none"/>
          <w:u w:val="single"/>
        </w:rPr>
        <w:t xml:space="preserve">                </w:t>
      </w:r>
    </w:p>
    <w:p w14:paraId="37A0DCF7">
      <w:pPr>
        <w:rPr>
          <w:color w:val="auto"/>
          <w:sz w:val="32"/>
          <w:szCs w:val="32"/>
          <w:highlight w:val="none"/>
          <w:u w:val="single"/>
        </w:rPr>
      </w:pPr>
      <w:r>
        <w:rPr>
          <w:color w:val="auto"/>
          <w:sz w:val="32"/>
          <w:szCs w:val="32"/>
          <w:highlight w:val="none"/>
        </w:rPr>
        <w:t xml:space="preserve">      </w:t>
      </w:r>
    </w:p>
    <w:p w14:paraId="642526DB">
      <w:pPr>
        <w:rPr>
          <w:color w:val="auto"/>
          <w:sz w:val="36"/>
          <w:highlight w:val="none"/>
        </w:rPr>
      </w:pPr>
    </w:p>
    <w:p w14:paraId="51BEFDE6">
      <w:pPr>
        <w:jc w:val="center"/>
        <w:rPr>
          <w:b/>
          <w:color w:val="auto"/>
          <w:sz w:val="30"/>
          <w:highlight w:val="none"/>
        </w:rPr>
      </w:pPr>
    </w:p>
    <w:p w14:paraId="75739C49">
      <w:pPr>
        <w:jc w:val="center"/>
        <w:rPr>
          <w:b/>
          <w:color w:val="auto"/>
          <w:sz w:val="30"/>
          <w:highlight w:val="none"/>
        </w:rPr>
      </w:pPr>
    </w:p>
    <w:p w14:paraId="49B2E5E1">
      <w:pPr>
        <w:jc w:val="center"/>
        <w:rPr>
          <w:b/>
          <w:color w:val="auto"/>
          <w:sz w:val="30"/>
          <w:highlight w:val="none"/>
        </w:rPr>
      </w:pPr>
    </w:p>
    <w:p w14:paraId="7ADEBDB2">
      <w:pPr>
        <w:jc w:val="center"/>
        <w:rPr>
          <w:b/>
          <w:color w:val="auto"/>
          <w:sz w:val="30"/>
          <w:highlight w:val="none"/>
        </w:rPr>
      </w:pPr>
    </w:p>
    <w:p w14:paraId="66C4DAE7">
      <w:pPr>
        <w:jc w:val="center"/>
        <w:rPr>
          <w:b/>
          <w:color w:val="auto"/>
          <w:sz w:val="30"/>
          <w:highlight w:val="none"/>
        </w:rPr>
      </w:pPr>
    </w:p>
    <w:p w14:paraId="06552A8E">
      <w:pPr>
        <w:jc w:val="center"/>
        <w:rPr>
          <w:b/>
          <w:color w:val="auto"/>
          <w:sz w:val="30"/>
          <w:highlight w:val="none"/>
        </w:rPr>
      </w:pPr>
    </w:p>
    <w:p w14:paraId="668BAD67">
      <w:pPr>
        <w:jc w:val="center"/>
        <w:rPr>
          <w:b/>
          <w:color w:val="auto"/>
          <w:sz w:val="30"/>
          <w:highlight w:val="none"/>
        </w:rPr>
      </w:pPr>
    </w:p>
    <w:p w14:paraId="1D72288F">
      <w:pPr>
        <w:jc w:val="center"/>
        <w:rPr>
          <w:b/>
          <w:color w:val="auto"/>
          <w:sz w:val="30"/>
          <w:highlight w:val="none"/>
        </w:rPr>
      </w:pPr>
    </w:p>
    <w:p w14:paraId="7376B367">
      <w:pPr>
        <w:jc w:val="center"/>
        <w:rPr>
          <w:b/>
          <w:color w:val="auto"/>
          <w:sz w:val="30"/>
          <w:highlight w:val="none"/>
        </w:rPr>
      </w:pPr>
    </w:p>
    <w:p w14:paraId="765B9505">
      <w:pPr>
        <w:jc w:val="center"/>
        <w:rPr>
          <w:b/>
          <w:color w:val="auto"/>
          <w:sz w:val="30"/>
          <w:highlight w:val="none"/>
        </w:rPr>
      </w:pPr>
    </w:p>
    <w:p w14:paraId="4B252B6E">
      <w:pPr>
        <w:jc w:val="both"/>
        <w:rPr>
          <w:rFonts w:eastAsia="黑体"/>
          <w:color w:val="auto"/>
          <w:sz w:val="32"/>
          <w:highlight w:val="none"/>
        </w:rPr>
      </w:pPr>
    </w:p>
    <w:p w14:paraId="50EBAA58">
      <w:pPr>
        <w:jc w:val="both"/>
        <w:rPr>
          <w:rFonts w:eastAsia="黑体"/>
          <w:color w:val="auto"/>
          <w:sz w:val="32"/>
          <w:highlight w:val="none"/>
        </w:rPr>
      </w:pPr>
    </w:p>
    <w:p w14:paraId="75FC2E87">
      <w:pPr>
        <w:jc w:val="center"/>
        <w:rPr>
          <w:rFonts w:eastAsia="黑体"/>
          <w:color w:val="auto"/>
          <w:sz w:val="32"/>
          <w:highlight w:val="none"/>
        </w:rPr>
      </w:pPr>
      <w:r>
        <w:rPr>
          <w:rFonts w:eastAsia="黑体"/>
          <w:color w:val="auto"/>
          <w:sz w:val="32"/>
          <w:highlight w:val="none"/>
        </w:rPr>
        <w:t>填 写 说 明</w:t>
      </w:r>
    </w:p>
    <w:p w14:paraId="68564949">
      <w:pPr>
        <w:rPr>
          <w:color w:val="auto"/>
          <w:sz w:val="28"/>
          <w:highlight w:val="none"/>
        </w:rPr>
      </w:pPr>
      <w:r>
        <w:rPr>
          <w:rFonts w:eastAsia="黑体"/>
          <w:color w:val="auto"/>
          <w:sz w:val="32"/>
          <w:highlight w:val="none"/>
        </w:rPr>
        <w:t xml:space="preserve">   </w:t>
      </w:r>
      <w:r>
        <w:rPr>
          <w:color w:val="auto"/>
          <w:sz w:val="28"/>
          <w:highlight w:val="none"/>
        </w:rPr>
        <w:t xml:space="preserve"> </w:t>
      </w:r>
    </w:p>
    <w:p w14:paraId="5B051D68">
      <w:pPr>
        <w:rPr>
          <w:rFonts w:hint="eastAsia" w:ascii="宋体" w:hAnsi="宋体" w:eastAsia="宋体" w:cs="宋体"/>
          <w:color w:val="auto"/>
          <w:sz w:val="28"/>
          <w:szCs w:val="28"/>
          <w:highlight w:val="none"/>
        </w:rPr>
      </w:pPr>
      <w:r>
        <w:rPr>
          <w:color w:val="auto"/>
          <w:sz w:val="28"/>
          <w:highlight w:val="none"/>
        </w:rPr>
        <w:t xml:space="preserve">   </w:t>
      </w:r>
      <w:r>
        <w:rPr>
          <w:rFonts w:hint="eastAsia" w:eastAsia="宋体"/>
          <w:color w:val="auto"/>
          <w:sz w:val="28"/>
          <w:highlight w:val="none"/>
          <w:lang w:val="en-US" w:eastAsia="zh-CN"/>
        </w:rPr>
        <w:t xml:space="preserve"> </w:t>
      </w:r>
      <w:r>
        <w:rPr>
          <w:rFonts w:hint="eastAsia" w:eastAsia="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1. 本合同</w:t>
      </w:r>
      <w:r>
        <w:rPr>
          <w:rFonts w:hint="eastAsia" w:ascii="宋体" w:hAnsi="宋体" w:eastAsia="宋体" w:cs="宋体"/>
          <w:color w:val="auto"/>
          <w:sz w:val="28"/>
          <w:szCs w:val="28"/>
          <w:highlight w:val="none"/>
          <w:lang w:val="en-US" w:eastAsia="zh-CN"/>
        </w:rPr>
        <w:t>参</w:t>
      </w:r>
      <w:r>
        <w:rPr>
          <w:rFonts w:hint="eastAsia" w:ascii="宋体" w:hAnsi="宋体" w:eastAsia="宋体" w:cs="宋体"/>
          <w:color w:val="auto"/>
          <w:sz w:val="28"/>
          <w:szCs w:val="28"/>
          <w:highlight w:val="none"/>
        </w:rPr>
        <w:t>照中华人民共和国科学技术部印制的技术服务合同示范文本</w:t>
      </w:r>
      <w:r>
        <w:rPr>
          <w:rFonts w:hint="eastAsia" w:ascii="宋体" w:hAnsi="宋体" w:eastAsia="宋体" w:cs="宋体"/>
          <w:color w:val="auto"/>
          <w:sz w:val="28"/>
          <w:szCs w:val="28"/>
          <w:highlight w:val="none"/>
          <w:lang w:val="en-US" w:eastAsia="zh-CN"/>
        </w:rPr>
        <w:t>编制</w:t>
      </w:r>
      <w:r>
        <w:rPr>
          <w:rFonts w:hint="eastAsia" w:ascii="宋体" w:hAnsi="宋体" w:eastAsia="宋体" w:cs="宋体"/>
          <w:color w:val="auto"/>
          <w:sz w:val="28"/>
          <w:szCs w:val="28"/>
          <w:highlight w:val="none"/>
        </w:rPr>
        <w:t>。</w:t>
      </w:r>
    </w:p>
    <w:p w14:paraId="166F4AC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 本合同书适用于一方当事人（受托方）以技术知识为另一方（委托方）解决特定技术问题所订立的合同。</w:t>
      </w:r>
    </w:p>
    <w:p w14:paraId="6F69FF4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3. 签约一方为多个当事人的，可按各自在合同关系中的作用等，在“委托方”、“受托方”项下（增页）分别排列为共同委托人或共同受托人。</w:t>
      </w:r>
    </w:p>
    <w:p w14:paraId="017F6FB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 本合同书未尽事项，可由当事人附页另行约定，并作为本合同的组成部分。</w:t>
      </w:r>
    </w:p>
    <w:p w14:paraId="30F993E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5. 当事人使用本合同书时约定无需填写的条款，应在该条款处注明“无”等字样。</w:t>
      </w:r>
    </w:p>
    <w:p w14:paraId="5794D9F6">
      <w:pPr>
        <w:rPr>
          <w:color w:val="auto"/>
          <w:sz w:val="28"/>
          <w:highlight w:val="none"/>
        </w:rPr>
      </w:pPr>
    </w:p>
    <w:p w14:paraId="4A6960CD">
      <w:pPr>
        <w:rPr>
          <w:color w:val="auto"/>
          <w:sz w:val="28"/>
          <w:highlight w:val="none"/>
        </w:rPr>
      </w:pPr>
    </w:p>
    <w:p w14:paraId="410259F2">
      <w:pPr>
        <w:rPr>
          <w:color w:val="auto"/>
          <w:sz w:val="28"/>
          <w:highlight w:val="none"/>
        </w:rPr>
      </w:pPr>
    </w:p>
    <w:p w14:paraId="288CEB74">
      <w:pPr>
        <w:rPr>
          <w:color w:val="auto"/>
          <w:sz w:val="28"/>
          <w:highlight w:val="none"/>
        </w:rPr>
      </w:pPr>
    </w:p>
    <w:p w14:paraId="1DF66A64">
      <w:pPr>
        <w:rPr>
          <w:color w:val="auto"/>
          <w:sz w:val="28"/>
          <w:highlight w:val="none"/>
        </w:rPr>
      </w:pPr>
    </w:p>
    <w:p w14:paraId="5733D1C9">
      <w:pPr>
        <w:rPr>
          <w:color w:val="auto"/>
          <w:sz w:val="28"/>
          <w:highlight w:val="none"/>
        </w:rPr>
      </w:pPr>
    </w:p>
    <w:p w14:paraId="575DB939">
      <w:pPr>
        <w:rPr>
          <w:color w:val="auto"/>
          <w:sz w:val="28"/>
          <w:highlight w:val="none"/>
        </w:rPr>
      </w:pPr>
    </w:p>
    <w:p w14:paraId="2D66A4A7">
      <w:pPr>
        <w:rPr>
          <w:color w:val="auto"/>
          <w:sz w:val="28"/>
          <w:highlight w:val="none"/>
        </w:rPr>
        <w:sectPr>
          <w:pgSz w:w="11906" w:h="16838"/>
          <w:pgMar w:top="1440" w:right="1800" w:bottom="1440" w:left="1800" w:header="851" w:footer="992" w:gutter="0"/>
          <w:pgNumType w:fmt="decimal"/>
          <w:cols w:space="720" w:num="1"/>
          <w:titlePg/>
          <w:docGrid w:type="lines" w:linePitch="312" w:charSpace="0"/>
        </w:sectPr>
      </w:pPr>
    </w:p>
    <w:p w14:paraId="0207ADB8">
      <w:pPr>
        <w:rPr>
          <w:color w:val="auto"/>
          <w:sz w:val="28"/>
          <w:highlight w:val="none"/>
        </w:rPr>
      </w:pPr>
    </w:p>
    <w:p w14:paraId="7BE1466D">
      <w:pPr>
        <w:jc w:val="center"/>
        <w:rPr>
          <w:rFonts w:eastAsia="黑体"/>
          <w:color w:val="auto"/>
          <w:sz w:val="44"/>
          <w:highlight w:val="none"/>
        </w:rPr>
      </w:pPr>
      <w:r>
        <w:rPr>
          <w:rFonts w:eastAsia="黑体"/>
          <w:color w:val="auto"/>
          <w:sz w:val="44"/>
          <w:highlight w:val="none"/>
        </w:rPr>
        <w:t>技术服务合同</w:t>
      </w:r>
    </w:p>
    <w:p w14:paraId="31C9D9FF">
      <w:pPr>
        <w:jc w:val="center"/>
        <w:rPr>
          <w:rFonts w:eastAsia="黑体"/>
          <w:color w:val="auto"/>
          <w:sz w:val="44"/>
          <w:highlight w:val="none"/>
        </w:rPr>
      </w:pPr>
    </w:p>
    <w:p w14:paraId="249BB38D">
      <w:pPr>
        <w:spacing w:line="480" w:lineRule="auto"/>
        <w:ind w:left="1" w:firstLine="280" w:firstLineChars="117"/>
        <w:rPr>
          <w:color w:val="auto"/>
          <w:sz w:val="24"/>
          <w:szCs w:val="24"/>
          <w:highlight w:val="none"/>
          <w:u w:val="single"/>
        </w:rPr>
      </w:pPr>
      <w:r>
        <w:rPr>
          <w:rFonts w:hint="eastAsia" w:ascii="宋体" w:hAnsi="宋体" w:eastAsia="宋体" w:cs="宋体"/>
          <w:color w:val="auto"/>
          <w:sz w:val="24"/>
          <w:szCs w:val="24"/>
          <w:highlight w:val="none"/>
        </w:rPr>
        <w:t>委托方（甲方）</w:t>
      </w:r>
      <w:r>
        <w:rPr>
          <w:color w:val="auto"/>
          <w:sz w:val="24"/>
          <w:szCs w:val="24"/>
          <w:highlight w:val="none"/>
        </w:rPr>
        <w:t>：</w:t>
      </w:r>
      <w:r>
        <w:rPr>
          <w:color w:val="auto"/>
          <w:sz w:val="24"/>
          <w:szCs w:val="24"/>
          <w:highlight w:val="none"/>
          <w:u w:val="single"/>
        </w:rPr>
        <w:t xml:space="preserve">   </w:t>
      </w:r>
      <w:r>
        <w:rPr>
          <w:rFonts w:hint="eastAsia"/>
          <w:color w:val="auto"/>
          <w:sz w:val="24"/>
          <w:szCs w:val="24"/>
          <w:highlight w:val="none"/>
          <w:u w:val="single"/>
          <w:lang w:val="en-US" w:eastAsia="zh-CN"/>
        </w:rPr>
        <w:t xml:space="preserve">           重庆理工职业学院</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787D6EFA">
      <w:pPr>
        <w:spacing w:line="480" w:lineRule="auto"/>
        <w:ind w:firstLine="280" w:firstLineChars="117"/>
        <w:rPr>
          <w:color w:val="auto"/>
          <w:sz w:val="24"/>
          <w:szCs w:val="24"/>
          <w:highlight w:val="none"/>
          <w:u w:val="single"/>
        </w:rPr>
      </w:pPr>
      <w:r>
        <w:rPr>
          <w:color w:val="auto"/>
          <w:sz w:val="24"/>
          <w:szCs w:val="24"/>
          <w:highlight w:val="none"/>
        </w:rPr>
        <w:t>住  所  地：</w:t>
      </w:r>
      <w:r>
        <w:rPr>
          <w:color w:val="auto"/>
          <w:sz w:val="24"/>
          <w:szCs w:val="24"/>
          <w:highlight w:val="none"/>
          <w:u w:val="single"/>
        </w:rPr>
        <w:t xml:space="preserve">  </w:t>
      </w:r>
      <w:r>
        <w:rPr>
          <w:rFonts w:hint="eastAsia"/>
          <w:color w:val="auto"/>
          <w:sz w:val="24"/>
          <w:szCs w:val="24"/>
          <w:highlight w:val="none"/>
          <w:u w:val="single"/>
          <w:lang w:val="en-US" w:eastAsia="zh-CN"/>
        </w:rPr>
        <w:t xml:space="preserve">          重庆市巴南区界石镇东城大道588号</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38D9F2BD">
      <w:pPr>
        <w:spacing w:line="480" w:lineRule="auto"/>
        <w:ind w:firstLine="280" w:firstLineChars="117"/>
        <w:rPr>
          <w:color w:val="auto"/>
          <w:sz w:val="24"/>
          <w:szCs w:val="24"/>
          <w:highlight w:val="none"/>
          <w:u w:val="single"/>
        </w:rPr>
      </w:pPr>
      <w:r>
        <w:rPr>
          <w:color w:val="auto"/>
          <w:sz w:val="24"/>
          <w:szCs w:val="24"/>
          <w:highlight w:val="none"/>
        </w:rPr>
        <w:t>法定代表人：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lang w:val="en-US" w:eastAsia="zh-CN"/>
        </w:rPr>
        <w:t>龚必飞</w:t>
      </w:r>
      <w:r>
        <w:rPr>
          <w:rFonts w:hint="eastAsia"/>
          <w:color w:val="auto"/>
          <w:sz w:val="24"/>
          <w:szCs w:val="24"/>
          <w:highlight w:val="none"/>
          <w:u w:val="single"/>
        </w:rPr>
        <w:t xml:space="preserve">                </w:t>
      </w:r>
      <w:r>
        <w:rPr>
          <w:color w:val="auto"/>
          <w:sz w:val="24"/>
          <w:szCs w:val="24"/>
          <w:highlight w:val="none"/>
          <w:u w:val="single"/>
        </w:rPr>
        <w:t xml:space="preserve">           </w:t>
      </w:r>
    </w:p>
    <w:p w14:paraId="45A5B871">
      <w:pPr>
        <w:tabs>
          <w:tab w:val="left" w:pos="1050"/>
        </w:tabs>
        <w:spacing w:line="480" w:lineRule="auto"/>
        <w:ind w:firstLine="280" w:firstLineChars="117"/>
        <w:rPr>
          <w:color w:val="auto"/>
          <w:sz w:val="24"/>
          <w:szCs w:val="24"/>
          <w:highlight w:val="none"/>
          <w:u w:val="single"/>
        </w:rPr>
      </w:pPr>
      <w:r>
        <w:rPr>
          <w:color w:val="auto"/>
          <w:sz w:val="24"/>
          <w:szCs w:val="24"/>
          <w:highlight w:val="none"/>
        </w:rPr>
        <w:t>项目联系人：</w:t>
      </w:r>
      <w:r>
        <w:rPr>
          <w:color w:val="auto"/>
          <w:sz w:val="24"/>
          <w:szCs w:val="24"/>
          <w:highlight w:val="none"/>
          <w:u w:val="single"/>
        </w:rPr>
        <w:t xml:space="preserve">                   </w:t>
      </w:r>
      <w:r>
        <w:rPr>
          <w:rFonts w:hint="eastAsia"/>
          <w:color w:val="auto"/>
          <w:sz w:val="24"/>
          <w:szCs w:val="24"/>
          <w:highlight w:val="none"/>
          <w:u w:val="single"/>
          <w:lang w:val="en-US" w:eastAsia="zh-CN"/>
        </w:rPr>
        <w:t>李冬儒</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3AB93E47">
      <w:pPr>
        <w:spacing w:line="480" w:lineRule="auto"/>
        <w:ind w:firstLine="280" w:firstLineChars="117"/>
        <w:rPr>
          <w:color w:val="auto"/>
          <w:sz w:val="24"/>
          <w:szCs w:val="24"/>
          <w:highlight w:val="none"/>
        </w:rPr>
      </w:pPr>
      <w:r>
        <w:rPr>
          <w:color w:val="auto"/>
          <w:sz w:val="24"/>
          <w:szCs w:val="24"/>
          <w:highlight w:val="none"/>
        </w:rPr>
        <w:t>联系方式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lang w:val="en-US" w:eastAsia="zh-CN"/>
        </w:rPr>
        <w:t>15023777671</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785C5CBF">
      <w:pPr>
        <w:spacing w:line="480" w:lineRule="auto"/>
        <w:ind w:firstLine="280" w:firstLineChars="117"/>
        <w:rPr>
          <w:color w:val="auto"/>
          <w:sz w:val="24"/>
          <w:szCs w:val="24"/>
          <w:highlight w:val="none"/>
          <w:u w:val="single"/>
        </w:rPr>
      </w:pPr>
      <w:r>
        <w:rPr>
          <w:color w:val="auto"/>
          <w:sz w:val="24"/>
          <w:szCs w:val="24"/>
          <w:highlight w:val="none"/>
        </w:rPr>
        <w:t>通讯地址：</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423696C7">
      <w:pPr>
        <w:spacing w:line="480" w:lineRule="auto"/>
        <w:ind w:firstLine="280" w:firstLineChars="117"/>
        <w:rPr>
          <w:color w:val="auto"/>
          <w:sz w:val="24"/>
          <w:szCs w:val="24"/>
          <w:highlight w:val="none"/>
          <w:u w:val="single"/>
        </w:rPr>
      </w:pPr>
      <w:r>
        <w:rPr>
          <w:color w:val="auto"/>
          <w:sz w:val="24"/>
          <w:szCs w:val="24"/>
          <w:highlight w:val="none"/>
        </w:rPr>
        <w:t>电    话：</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传真：</w:t>
      </w:r>
      <w:r>
        <w:rPr>
          <w:rFonts w:hint="eastAsia"/>
          <w:color w:val="auto"/>
          <w:sz w:val="24"/>
          <w:szCs w:val="24"/>
          <w:highlight w:val="none"/>
          <w:u w:val="single"/>
        </w:rPr>
        <w:t xml:space="preserve">   </w:t>
      </w:r>
      <w:r>
        <w:rPr>
          <w:color w:val="auto"/>
          <w:sz w:val="24"/>
          <w:szCs w:val="24"/>
          <w:highlight w:val="none"/>
          <w:u w:val="single"/>
        </w:rPr>
        <w:t xml:space="preserve">            </w:t>
      </w:r>
    </w:p>
    <w:p w14:paraId="11291CCC">
      <w:pPr>
        <w:spacing w:line="480" w:lineRule="auto"/>
        <w:ind w:firstLine="280" w:firstLineChars="117"/>
        <w:rPr>
          <w:rFonts w:hint="eastAsia"/>
          <w:color w:val="auto"/>
          <w:sz w:val="24"/>
          <w:szCs w:val="24"/>
          <w:highlight w:val="none"/>
        </w:rPr>
      </w:pPr>
    </w:p>
    <w:p w14:paraId="507EC9A9">
      <w:pPr>
        <w:spacing w:line="480" w:lineRule="auto"/>
        <w:ind w:firstLine="280" w:firstLineChars="117"/>
        <w:rPr>
          <w:color w:val="auto"/>
          <w:sz w:val="24"/>
          <w:szCs w:val="24"/>
          <w:highlight w:val="none"/>
          <w:u w:val="single"/>
        </w:rPr>
      </w:pPr>
      <w:r>
        <w:rPr>
          <w:color w:val="auto"/>
          <w:sz w:val="24"/>
          <w:szCs w:val="24"/>
          <w:highlight w:val="none"/>
        </w:rPr>
        <w:t>受托方（乙方）：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08163EFF">
      <w:pPr>
        <w:spacing w:line="480" w:lineRule="auto"/>
        <w:ind w:firstLine="280" w:firstLineChars="117"/>
        <w:rPr>
          <w:rFonts w:hint="default" w:eastAsia="宋体"/>
          <w:color w:val="auto"/>
          <w:sz w:val="24"/>
          <w:szCs w:val="24"/>
          <w:highlight w:val="none"/>
          <w:u w:val="single"/>
          <w:lang w:val="en-US" w:eastAsia="zh-CN"/>
        </w:rPr>
      </w:pPr>
      <w:r>
        <w:rPr>
          <w:color w:val="auto"/>
          <w:sz w:val="24"/>
          <w:szCs w:val="24"/>
          <w:highlight w:val="none"/>
        </w:rPr>
        <w:t>住  所  地：</w:t>
      </w:r>
      <w:r>
        <w:rPr>
          <w:rFonts w:hint="eastAsia"/>
          <w:color w:val="auto"/>
          <w:sz w:val="24"/>
          <w:szCs w:val="24"/>
          <w:highlight w:val="none"/>
          <w:u w:val="single"/>
          <w:lang w:val="en-US" w:eastAsia="zh-CN"/>
        </w:rPr>
        <w:t xml:space="preserve">                                                     </w:t>
      </w:r>
    </w:p>
    <w:p w14:paraId="0C579AB3">
      <w:pPr>
        <w:spacing w:line="480" w:lineRule="auto"/>
        <w:ind w:firstLine="280" w:firstLineChars="117"/>
        <w:rPr>
          <w:color w:val="auto"/>
          <w:sz w:val="24"/>
          <w:szCs w:val="24"/>
          <w:highlight w:val="none"/>
          <w:u w:val="single"/>
        </w:rPr>
      </w:pPr>
      <w:r>
        <w:rPr>
          <w:color w:val="auto"/>
          <w:sz w:val="24"/>
          <w:szCs w:val="24"/>
          <w:highlight w:val="none"/>
        </w:rPr>
        <w:t>法定代表人：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08E924C8">
      <w:pPr>
        <w:spacing w:line="480" w:lineRule="auto"/>
        <w:ind w:firstLine="280" w:firstLineChars="117"/>
        <w:rPr>
          <w:color w:val="auto"/>
          <w:sz w:val="24"/>
          <w:szCs w:val="24"/>
          <w:highlight w:val="none"/>
          <w:u w:val="single"/>
        </w:rPr>
      </w:pPr>
      <w:r>
        <w:rPr>
          <w:color w:val="auto"/>
          <w:sz w:val="24"/>
          <w:szCs w:val="24"/>
          <w:highlight w:val="none"/>
        </w:rPr>
        <w:t>项目联系人：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154D15A1">
      <w:pPr>
        <w:spacing w:line="480" w:lineRule="auto"/>
        <w:ind w:firstLine="280" w:firstLineChars="117"/>
        <w:rPr>
          <w:color w:val="auto"/>
          <w:sz w:val="24"/>
          <w:szCs w:val="24"/>
          <w:highlight w:val="none"/>
        </w:rPr>
      </w:pPr>
      <w:r>
        <w:rPr>
          <w:color w:val="auto"/>
          <w:sz w:val="24"/>
          <w:szCs w:val="24"/>
          <w:highlight w:val="none"/>
        </w:rPr>
        <w:t>联系方式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4A41F9D4">
      <w:pPr>
        <w:tabs>
          <w:tab w:val="left" w:pos="8100"/>
        </w:tabs>
        <w:spacing w:line="480" w:lineRule="auto"/>
        <w:ind w:firstLine="280" w:firstLineChars="117"/>
        <w:rPr>
          <w:rFonts w:hint="default" w:eastAsia="宋体"/>
          <w:color w:val="auto"/>
          <w:sz w:val="24"/>
          <w:szCs w:val="24"/>
          <w:highlight w:val="none"/>
          <w:u w:val="single"/>
          <w:lang w:val="en-US" w:eastAsia="zh-CN"/>
        </w:rPr>
      </w:pPr>
      <w:r>
        <w:rPr>
          <w:color w:val="auto"/>
          <w:sz w:val="24"/>
          <w:szCs w:val="24"/>
          <w:highlight w:val="none"/>
        </w:rPr>
        <w:t>通讯地址：</w:t>
      </w:r>
      <w:r>
        <w:rPr>
          <w:rFonts w:hint="eastAsia"/>
          <w:color w:val="auto"/>
          <w:sz w:val="24"/>
          <w:szCs w:val="24"/>
          <w:highlight w:val="none"/>
          <w:u w:val="single"/>
          <w:lang w:val="en-US" w:eastAsia="zh-CN"/>
        </w:rPr>
        <w:t xml:space="preserve">                                                        </w:t>
      </w:r>
    </w:p>
    <w:p w14:paraId="52692A4A">
      <w:pPr>
        <w:spacing w:line="480" w:lineRule="auto"/>
        <w:ind w:firstLine="280" w:firstLineChars="117"/>
        <w:rPr>
          <w:color w:val="auto"/>
          <w:sz w:val="24"/>
          <w:szCs w:val="24"/>
          <w:highlight w:val="none"/>
          <w:u w:val="single"/>
        </w:rPr>
      </w:pPr>
      <w:r>
        <w:rPr>
          <w:color w:val="auto"/>
          <w:sz w:val="24"/>
          <w:szCs w:val="24"/>
          <w:highlight w:val="none"/>
        </w:rPr>
        <w:t>电    话：</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 xml:space="preserve"> 传真：</w:t>
      </w:r>
      <w:r>
        <w:rPr>
          <w:rFonts w:hint="eastAsia"/>
          <w:color w:val="auto"/>
          <w:sz w:val="24"/>
          <w:szCs w:val="24"/>
          <w:highlight w:val="none"/>
          <w:u w:val="single"/>
        </w:rPr>
        <w:t xml:space="preserve">   </w:t>
      </w:r>
      <w:r>
        <w:rPr>
          <w:color w:val="auto"/>
          <w:sz w:val="24"/>
          <w:szCs w:val="24"/>
          <w:highlight w:val="none"/>
          <w:u w:val="single"/>
        </w:rPr>
        <w:t xml:space="preserve">            </w:t>
      </w:r>
    </w:p>
    <w:p w14:paraId="29FCA242">
      <w:pPr>
        <w:spacing w:line="480" w:lineRule="auto"/>
        <w:ind w:left="-260"/>
        <w:rPr>
          <w:rFonts w:hint="eastAsia"/>
          <w:color w:val="auto"/>
          <w:sz w:val="24"/>
          <w:szCs w:val="24"/>
          <w:highlight w:val="none"/>
        </w:rPr>
      </w:pPr>
      <w:r>
        <w:rPr>
          <w:color w:val="auto"/>
          <w:sz w:val="24"/>
          <w:szCs w:val="24"/>
          <w:highlight w:val="none"/>
        </w:rPr>
        <w:t xml:space="preserve">  </w:t>
      </w:r>
    </w:p>
    <w:p w14:paraId="6D590DE8">
      <w:pPr>
        <w:spacing w:line="480" w:lineRule="auto"/>
        <w:ind w:left="-260"/>
        <w:rPr>
          <w:rFonts w:hint="eastAsia"/>
          <w:color w:val="auto"/>
          <w:sz w:val="24"/>
          <w:szCs w:val="24"/>
          <w:highlight w:val="none"/>
        </w:rPr>
      </w:pPr>
    </w:p>
    <w:p w14:paraId="0ED5EB59">
      <w:pPr>
        <w:spacing w:line="480" w:lineRule="auto"/>
        <w:ind w:left="-260"/>
        <w:rPr>
          <w:rFonts w:hint="eastAsia"/>
          <w:color w:val="auto"/>
          <w:sz w:val="24"/>
          <w:szCs w:val="24"/>
          <w:highlight w:val="none"/>
        </w:rPr>
      </w:pPr>
    </w:p>
    <w:p w14:paraId="0F740591">
      <w:pPr>
        <w:spacing w:line="480" w:lineRule="auto"/>
        <w:rPr>
          <w:color w:val="auto"/>
          <w:sz w:val="24"/>
          <w:szCs w:val="24"/>
          <w:highlight w:val="none"/>
          <w:u w:val="single"/>
        </w:rPr>
      </w:pPr>
    </w:p>
    <w:p w14:paraId="42A38649">
      <w:pPr>
        <w:spacing w:line="360" w:lineRule="auto"/>
        <w:ind w:firstLine="480" w:firstLineChars="200"/>
        <w:rPr>
          <w:color w:val="auto"/>
          <w:sz w:val="24"/>
          <w:szCs w:val="24"/>
          <w:highlight w:val="none"/>
        </w:rPr>
      </w:pPr>
    </w:p>
    <w:p w14:paraId="5AE30373">
      <w:pPr>
        <w:spacing w:line="360" w:lineRule="auto"/>
        <w:ind w:firstLine="480" w:firstLineChars="200"/>
        <w:rPr>
          <w:color w:val="auto"/>
          <w:sz w:val="24"/>
          <w:szCs w:val="24"/>
          <w:highlight w:val="none"/>
        </w:rPr>
      </w:pPr>
    </w:p>
    <w:p w14:paraId="62ECB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u w:val="single"/>
        </w:rPr>
      </w:pPr>
      <w:r>
        <w:rPr>
          <w:color w:val="auto"/>
          <w:sz w:val="24"/>
          <w:szCs w:val="24"/>
          <w:highlight w:val="none"/>
        </w:rPr>
        <w:t>本合同</w:t>
      </w:r>
      <w:r>
        <w:rPr>
          <w:rFonts w:hint="eastAsia"/>
          <w:color w:val="auto"/>
          <w:sz w:val="24"/>
          <w:szCs w:val="24"/>
          <w:highlight w:val="none"/>
        </w:rPr>
        <w:t>为</w:t>
      </w:r>
      <w:r>
        <w:rPr>
          <w:color w:val="auto"/>
          <w:sz w:val="24"/>
          <w:szCs w:val="24"/>
          <w:highlight w:val="none"/>
        </w:rPr>
        <w:t>甲方委托乙方就</w:t>
      </w:r>
      <w:r>
        <w:rPr>
          <w:color w:val="auto"/>
          <w:sz w:val="24"/>
          <w:szCs w:val="24"/>
          <w:highlight w:val="none"/>
          <w:u w:val="single"/>
        </w:rPr>
        <w:t xml:space="preserve"> </w:t>
      </w:r>
      <w:r>
        <w:rPr>
          <w:rFonts w:hint="eastAsia" w:eastAsia="宋体"/>
          <w:color w:val="auto"/>
          <w:sz w:val="24"/>
          <w:szCs w:val="24"/>
          <w:highlight w:val="none"/>
          <w:u w:val="single"/>
          <w:lang w:val="en-US" w:eastAsia="zh-CN"/>
        </w:rPr>
        <w:t>原</w:t>
      </w:r>
      <w:r>
        <w:rPr>
          <w:rFonts w:hint="eastAsia"/>
          <w:color w:val="auto"/>
          <w:sz w:val="24"/>
          <w:szCs w:val="24"/>
          <w:highlight w:val="none"/>
          <w:u w:val="single"/>
          <w:lang w:val="en-US" w:eastAsia="zh-CN"/>
        </w:rPr>
        <w:t>重庆汽车工程技术学院建设工程一期（6#-12#、13#楼）</w:t>
      </w:r>
      <w:r>
        <w:rPr>
          <w:rFonts w:hint="eastAsia" w:ascii="宋体" w:hAnsi="宋体" w:eastAsia="宋体" w:cs="宋体"/>
          <w:color w:val="auto"/>
          <w:spacing w:val="-1"/>
          <w:sz w:val="24"/>
          <w:szCs w:val="24"/>
          <w:highlight w:val="none"/>
          <w:u w:val="single"/>
          <w:lang w:val="en-US" w:eastAsia="zh-CN"/>
        </w:rPr>
        <w:t>房屋测绘</w:t>
      </w:r>
      <w:r>
        <w:rPr>
          <w:rFonts w:hint="eastAsia"/>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房屋测绘</w:t>
      </w:r>
      <w:r>
        <w:rPr>
          <w:color w:val="auto"/>
          <w:sz w:val="24"/>
          <w:szCs w:val="24"/>
          <w:highlight w:val="none"/>
        </w:rPr>
        <w:t>项目进行的技术服务，并支付相应技术服务</w:t>
      </w:r>
      <w:r>
        <w:rPr>
          <w:rFonts w:hint="eastAsia"/>
          <w:color w:val="auto"/>
          <w:sz w:val="24"/>
          <w:szCs w:val="24"/>
          <w:highlight w:val="none"/>
        </w:rPr>
        <w:t>费用。甲乙双方经过平等协商，</w:t>
      </w:r>
      <w:r>
        <w:rPr>
          <w:color w:val="auto"/>
          <w:sz w:val="24"/>
          <w:szCs w:val="24"/>
          <w:highlight w:val="none"/>
        </w:rPr>
        <w:t>在真实、充分地表达各自意愿的基础上，根据《中华人民共和国</w:t>
      </w:r>
      <w:r>
        <w:rPr>
          <w:rFonts w:hint="eastAsia"/>
          <w:color w:val="auto"/>
          <w:sz w:val="24"/>
          <w:szCs w:val="24"/>
          <w:highlight w:val="none"/>
        </w:rPr>
        <w:t>民法典</w:t>
      </w:r>
      <w:r>
        <w:rPr>
          <w:color w:val="auto"/>
          <w:sz w:val="24"/>
          <w:szCs w:val="24"/>
          <w:highlight w:val="none"/>
        </w:rPr>
        <w:t>》</w:t>
      </w:r>
      <w:r>
        <w:rPr>
          <w:rFonts w:hint="eastAsia"/>
          <w:color w:val="auto"/>
          <w:sz w:val="24"/>
          <w:szCs w:val="24"/>
          <w:highlight w:val="none"/>
        </w:rPr>
        <w:t>和《中华人民共和国测绘法》的有关法律法规</w:t>
      </w:r>
      <w:r>
        <w:rPr>
          <w:color w:val="auto"/>
          <w:sz w:val="24"/>
          <w:szCs w:val="24"/>
          <w:highlight w:val="none"/>
        </w:rPr>
        <w:t>的规定，达成如下协议，并由双方共同恪守。</w:t>
      </w:r>
    </w:p>
    <w:p w14:paraId="4FBBE61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highlight w:val="none"/>
        </w:rPr>
      </w:pPr>
      <w:r>
        <w:rPr>
          <w:rFonts w:eastAsia="黑体"/>
          <w:b/>
          <w:color w:val="auto"/>
          <w:sz w:val="24"/>
          <w:szCs w:val="24"/>
          <w:highlight w:val="none"/>
        </w:rPr>
        <w:t>第一条：</w:t>
      </w:r>
      <w:r>
        <w:rPr>
          <w:color w:val="auto"/>
          <w:sz w:val="24"/>
          <w:szCs w:val="24"/>
          <w:highlight w:val="none"/>
        </w:rPr>
        <w:t>甲方委托乙方进行技术服务</w:t>
      </w:r>
      <w:r>
        <w:rPr>
          <w:rFonts w:hint="eastAsia"/>
          <w:color w:val="auto"/>
          <w:sz w:val="24"/>
          <w:szCs w:val="24"/>
          <w:highlight w:val="none"/>
        </w:rPr>
        <w:t>范围及类型</w:t>
      </w:r>
      <w:r>
        <w:rPr>
          <w:color w:val="auto"/>
          <w:sz w:val="24"/>
          <w:szCs w:val="24"/>
          <w:highlight w:val="none"/>
        </w:rPr>
        <w:t>如下：</w:t>
      </w:r>
    </w:p>
    <w:p w14:paraId="1AF49C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u w:val="single"/>
        </w:rPr>
      </w:pPr>
      <w:r>
        <w:rPr>
          <w:color w:val="auto"/>
          <w:sz w:val="24"/>
          <w:szCs w:val="24"/>
          <w:highlight w:val="none"/>
        </w:rPr>
        <w:t>1．</w:t>
      </w:r>
      <w:r>
        <w:rPr>
          <w:rFonts w:hint="eastAsia"/>
          <w:color w:val="auto"/>
          <w:sz w:val="24"/>
          <w:szCs w:val="24"/>
          <w:highlight w:val="none"/>
        </w:rPr>
        <w:t>房屋坐落</w:t>
      </w:r>
      <w:r>
        <w:rPr>
          <w:color w:val="auto"/>
          <w:sz w:val="24"/>
          <w:szCs w:val="24"/>
          <w:highlight w:val="none"/>
        </w:rPr>
        <w:t>：</w:t>
      </w:r>
      <w:r>
        <w:rPr>
          <w:color w:val="auto"/>
          <w:sz w:val="24"/>
          <w:szCs w:val="24"/>
          <w:highlight w:val="none"/>
          <w:u w:val="single"/>
        </w:rPr>
        <w:t xml:space="preserve">  </w:t>
      </w:r>
      <w:r>
        <w:rPr>
          <w:rFonts w:hint="eastAsia"/>
          <w:color w:val="auto"/>
          <w:sz w:val="24"/>
          <w:szCs w:val="24"/>
          <w:highlight w:val="none"/>
          <w:u w:val="single"/>
          <w:lang w:val="en-US" w:eastAsia="zh-CN"/>
        </w:rPr>
        <w:t>重庆市巴南区界石镇东城大道588号</w:t>
      </w:r>
      <w:r>
        <w:rPr>
          <w:color w:val="auto"/>
          <w:sz w:val="24"/>
          <w:szCs w:val="24"/>
          <w:highlight w:val="none"/>
          <w:u w:val="single"/>
        </w:rPr>
        <w:t xml:space="preserve">         </w:t>
      </w:r>
    </w:p>
    <w:p w14:paraId="2C2C868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highlight w:val="none"/>
          <w:u w:val="single"/>
          <w:lang w:val="en-US" w:eastAsia="zh-CN"/>
        </w:rPr>
      </w:pPr>
      <w:r>
        <w:rPr>
          <w:color w:val="auto"/>
          <w:sz w:val="24"/>
          <w:szCs w:val="24"/>
          <w:highlight w:val="none"/>
        </w:rPr>
        <w:t xml:space="preserve">  </w:t>
      </w:r>
      <w:r>
        <w:rPr>
          <w:rFonts w:hint="eastAsia" w:eastAsia="宋体"/>
          <w:color w:val="auto"/>
          <w:sz w:val="24"/>
          <w:szCs w:val="24"/>
          <w:highlight w:val="none"/>
          <w:lang w:val="en-US" w:eastAsia="zh-CN"/>
        </w:rPr>
        <w:t xml:space="preserve">   </w:t>
      </w:r>
      <w:r>
        <w:rPr>
          <w:color w:val="auto"/>
          <w:sz w:val="24"/>
          <w:szCs w:val="24"/>
          <w:highlight w:val="none"/>
        </w:rPr>
        <w:t xml:space="preserve">  2．</w:t>
      </w:r>
      <w:r>
        <w:rPr>
          <w:rFonts w:hint="eastAsia"/>
          <w:color w:val="auto"/>
          <w:sz w:val="24"/>
          <w:szCs w:val="24"/>
          <w:highlight w:val="none"/>
        </w:rPr>
        <w:t>项目名称</w:t>
      </w:r>
      <w:r>
        <w:rPr>
          <w:color w:val="auto"/>
          <w:sz w:val="24"/>
          <w:szCs w:val="24"/>
          <w:highlight w:val="none"/>
        </w:rPr>
        <w:t>：</w:t>
      </w:r>
      <w:r>
        <w:rPr>
          <w:color w:val="auto"/>
          <w:sz w:val="24"/>
          <w:szCs w:val="24"/>
          <w:highlight w:val="none"/>
          <w:u w:val="single"/>
        </w:rPr>
        <w:t xml:space="preserve"> </w:t>
      </w:r>
      <w:r>
        <w:rPr>
          <w:rFonts w:hint="eastAsia" w:eastAsia="宋体"/>
          <w:color w:val="auto"/>
          <w:sz w:val="24"/>
          <w:szCs w:val="24"/>
          <w:highlight w:val="none"/>
          <w:u w:val="single"/>
          <w:lang w:val="en-US" w:eastAsia="zh-CN"/>
        </w:rPr>
        <w:t>原</w:t>
      </w:r>
      <w:r>
        <w:rPr>
          <w:rFonts w:hint="eastAsia"/>
          <w:color w:val="auto"/>
          <w:sz w:val="24"/>
          <w:szCs w:val="24"/>
          <w:highlight w:val="none"/>
          <w:u w:val="single"/>
          <w:lang w:val="en-US" w:eastAsia="zh-CN"/>
        </w:rPr>
        <w:t xml:space="preserve">重庆汽车工程技术学院建设工程一期（6#-12#、13#楼）  </w:t>
      </w:r>
    </w:p>
    <w:p w14:paraId="5CE3ACB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color w:val="auto"/>
          <w:sz w:val="24"/>
          <w:szCs w:val="24"/>
          <w:highlight w:val="none"/>
          <w:u w:val="single"/>
          <w:lang w:val="en-US"/>
        </w:rPr>
      </w:pPr>
      <w:r>
        <w:rPr>
          <w:rFonts w:hint="eastAsia" w:ascii="宋体" w:hAnsi="宋体" w:eastAsia="宋体" w:cs="宋体"/>
          <w:color w:val="auto"/>
          <w:spacing w:val="-1"/>
          <w:sz w:val="24"/>
          <w:szCs w:val="24"/>
          <w:highlight w:val="none"/>
          <w:u w:val="single"/>
          <w:lang w:val="en-US" w:eastAsia="zh-CN"/>
        </w:rPr>
        <w:t>房屋测绘</w:t>
      </w:r>
      <w:r>
        <w:rPr>
          <w:rFonts w:hint="eastAsia"/>
          <w:color w:val="auto"/>
          <w:sz w:val="24"/>
          <w:szCs w:val="24"/>
          <w:highlight w:val="none"/>
          <w:u w:val="single"/>
          <w:lang w:val="en-US" w:eastAsia="zh-CN"/>
        </w:rPr>
        <w:t xml:space="preserve">  </w:t>
      </w:r>
    </w:p>
    <w:p w14:paraId="67421B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u w:val="singl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房屋面积</w:t>
      </w:r>
      <w:r>
        <w:rPr>
          <w:color w:val="auto"/>
          <w:sz w:val="24"/>
          <w:szCs w:val="24"/>
          <w:highlight w:val="none"/>
        </w:rPr>
        <w:t>：</w:t>
      </w:r>
      <w:r>
        <w:rPr>
          <w:color w:val="auto"/>
          <w:sz w:val="24"/>
          <w:szCs w:val="24"/>
          <w:highlight w:val="none"/>
          <w:u w:val="single"/>
        </w:rPr>
        <w:t xml:space="preserve">  </w:t>
      </w:r>
      <w:r>
        <w:rPr>
          <w:rFonts w:hint="eastAsia"/>
          <w:color w:val="auto"/>
          <w:sz w:val="24"/>
          <w:szCs w:val="24"/>
          <w:highlight w:val="none"/>
          <w:u w:val="single"/>
          <w:lang w:val="en-US" w:eastAsia="zh-CN"/>
        </w:rPr>
        <w:t>62431.77</w:t>
      </w:r>
      <w:r>
        <w:rPr>
          <w:color w:val="auto"/>
          <w:sz w:val="24"/>
          <w:szCs w:val="24"/>
          <w:highlight w:val="none"/>
          <w:u w:val="single"/>
        </w:rPr>
        <w:t xml:space="preserve">  </w:t>
      </w:r>
      <w:r>
        <w:rPr>
          <w:rFonts w:hint="eastAsia"/>
          <w:color w:val="auto"/>
          <w:sz w:val="24"/>
          <w:szCs w:val="24"/>
          <w:highlight w:val="none"/>
        </w:rPr>
        <w:t>平方米（以实测为准）</w:t>
      </w:r>
    </w:p>
    <w:p w14:paraId="2382E6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u w:val="singl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房屋用途</w:t>
      </w:r>
      <w:r>
        <w:rPr>
          <w:color w:val="auto"/>
          <w:sz w:val="24"/>
          <w:szCs w:val="24"/>
          <w:highlight w:val="none"/>
        </w:rPr>
        <w:t>：</w:t>
      </w:r>
      <w:r>
        <w:rPr>
          <w:color w:val="auto"/>
          <w:sz w:val="24"/>
          <w:szCs w:val="24"/>
          <w:highlight w:val="none"/>
          <w:u w:val="single"/>
        </w:rPr>
        <w:t xml:space="preserve"> </w:t>
      </w:r>
      <w:r>
        <w:rPr>
          <w:rFonts w:hint="eastAsia"/>
          <w:color w:val="auto"/>
          <w:sz w:val="24"/>
          <w:szCs w:val="24"/>
          <w:highlight w:val="none"/>
          <w:u w:val="single"/>
          <w:lang w:val="en-US" w:eastAsia="zh-CN"/>
        </w:rPr>
        <w:t>6、7#楼为教学实训楼、8#楼为学生宿舍、食堂、9-11#楼为学生宿舍、13#为地下车库。</w:t>
      </w:r>
      <w:r>
        <w:rPr>
          <w:color w:val="auto"/>
          <w:sz w:val="24"/>
          <w:szCs w:val="24"/>
          <w:highlight w:val="none"/>
          <w:u w:val="single"/>
        </w:rPr>
        <w:t xml:space="preserve">                                           </w:t>
      </w:r>
    </w:p>
    <w:p w14:paraId="6462ACAC">
      <w:pPr>
        <w:keepNext w:val="0"/>
        <w:keepLines w:val="0"/>
        <w:pageBreakBefore w:val="0"/>
        <w:widowControl/>
        <w:kinsoku w:val="0"/>
        <w:wordWrap/>
        <w:overflowPunct/>
        <w:topLinePunct w:val="0"/>
        <w:autoSpaceDE w:val="0"/>
        <w:autoSpaceDN w:val="0"/>
        <w:bidi w:val="0"/>
        <w:adjustRightInd w:val="0"/>
        <w:snapToGrid w:val="0"/>
        <w:spacing w:line="400" w:lineRule="exact"/>
        <w:ind w:left="1881" w:leftChars="227" w:hanging="1404" w:hangingChars="585"/>
        <w:textAlignment w:val="baseline"/>
        <w:rPr>
          <w:rFonts w:hint="eastAsia" w:ascii="宋体" w:hAnsi="宋体"/>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服务类型：</w:t>
      </w:r>
      <w:r>
        <w:rPr>
          <w:rFonts w:hint="eastAsia" w:ascii="宋体" w:hAnsi="宋体"/>
          <w:color w:val="auto"/>
          <w:sz w:val="24"/>
          <w:szCs w:val="24"/>
          <w:highlight w:val="none"/>
        </w:rPr>
        <w:t>□预售（□变更 □分割）</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竣工（□变更 □分割）         </w:t>
      </w:r>
    </w:p>
    <w:p w14:paraId="6463EEC5">
      <w:pPr>
        <w:keepNext w:val="0"/>
        <w:keepLines w:val="0"/>
        <w:pageBreakBefore w:val="0"/>
        <w:widowControl/>
        <w:kinsoku w:val="0"/>
        <w:wordWrap/>
        <w:overflowPunct/>
        <w:topLinePunct w:val="0"/>
        <w:autoSpaceDE w:val="0"/>
        <w:autoSpaceDN w:val="0"/>
        <w:bidi w:val="0"/>
        <w:adjustRightInd w:val="0"/>
        <w:snapToGrid w:val="0"/>
        <w:spacing w:line="400" w:lineRule="exact"/>
        <w:ind w:firstLine="2160" w:firstLineChars="900"/>
        <w:textAlignment w:val="baseline"/>
        <w:rPr>
          <w:rFonts w:hint="eastAsia"/>
          <w:color w:val="auto"/>
          <w:sz w:val="24"/>
          <w:szCs w:val="24"/>
          <w:highlight w:val="none"/>
        </w:rPr>
      </w:pPr>
      <w:r>
        <w:rPr>
          <w:rFonts w:hint="eastAsia" w:ascii="宋体" w:hAnsi="宋体"/>
          <w:color w:val="auto"/>
          <w:sz w:val="24"/>
          <w:szCs w:val="24"/>
          <w:highlight w:val="none"/>
        </w:rPr>
        <w:t>□委托（□变更） □两证遗留（□变更）</w:t>
      </w:r>
    </w:p>
    <w:p w14:paraId="2449CA8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二</w:t>
      </w:r>
      <w:r>
        <w:rPr>
          <w:rFonts w:eastAsia="黑体"/>
          <w:b/>
          <w:color w:val="auto"/>
          <w:sz w:val="24"/>
          <w:szCs w:val="24"/>
          <w:highlight w:val="none"/>
        </w:rPr>
        <w:t>条：</w:t>
      </w:r>
      <w:r>
        <w:rPr>
          <w:color w:val="auto"/>
          <w:sz w:val="24"/>
          <w:szCs w:val="24"/>
          <w:highlight w:val="none"/>
        </w:rPr>
        <w:t>甲方委托乙方进行技术服务</w:t>
      </w:r>
      <w:r>
        <w:rPr>
          <w:rFonts w:hint="eastAsia"/>
          <w:color w:val="auto"/>
          <w:sz w:val="24"/>
          <w:szCs w:val="24"/>
          <w:highlight w:val="none"/>
        </w:rPr>
        <w:t>及范围</w:t>
      </w:r>
      <w:r>
        <w:rPr>
          <w:color w:val="auto"/>
          <w:sz w:val="24"/>
          <w:szCs w:val="24"/>
          <w:highlight w:val="none"/>
        </w:rPr>
        <w:t>如下：</w:t>
      </w:r>
    </w:p>
    <w:p w14:paraId="46EAD4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w:t>
      </w:r>
      <w:r>
        <w:rPr>
          <w:rFonts w:hint="eastAsia"/>
          <w:color w:val="auto"/>
          <w:sz w:val="24"/>
          <w:szCs w:val="24"/>
          <w:highlight w:val="none"/>
        </w:rPr>
        <w:t>．房屋建筑面积测算及公用建筑面积分摊计算。</w:t>
      </w:r>
    </w:p>
    <w:p w14:paraId="0415B4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2</w:t>
      </w:r>
      <w:r>
        <w:rPr>
          <w:rFonts w:hint="eastAsia"/>
          <w:color w:val="auto"/>
          <w:sz w:val="24"/>
          <w:szCs w:val="24"/>
          <w:highlight w:val="none"/>
        </w:rPr>
        <w:t>．绘制房屋分层分户图。</w:t>
      </w:r>
    </w:p>
    <w:p w14:paraId="02EBC3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3</w:t>
      </w:r>
      <w:r>
        <w:rPr>
          <w:rFonts w:hint="eastAsia"/>
          <w:color w:val="auto"/>
          <w:sz w:val="24"/>
          <w:szCs w:val="24"/>
          <w:highlight w:val="none"/>
        </w:rPr>
        <w:t>．本次技术服务范围为测算、计算</w:t>
      </w:r>
      <w:r>
        <w:rPr>
          <w:rFonts w:hint="eastAsia"/>
          <w:color w:val="auto"/>
          <w:sz w:val="24"/>
          <w:szCs w:val="24"/>
          <w:highlight w:val="none"/>
          <w:u w:val="single"/>
        </w:rPr>
        <w:t xml:space="preserve">         </w:t>
      </w:r>
      <w:r>
        <w:rPr>
          <w:rFonts w:hint="eastAsia"/>
          <w:color w:val="auto"/>
          <w:sz w:val="24"/>
          <w:szCs w:val="24"/>
          <w:highlight w:val="none"/>
        </w:rPr>
        <w:t>的套内面积、建筑面积。</w:t>
      </w:r>
    </w:p>
    <w:p w14:paraId="452E4F5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三</w:t>
      </w:r>
      <w:r>
        <w:rPr>
          <w:rFonts w:eastAsia="黑体"/>
          <w:b/>
          <w:color w:val="auto"/>
          <w:sz w:val="24"/>
          <w:szCs w:val="24"/>
          <w:highlight w:val="none"/>
        </w:rPr>
        <w:t>条：</w:t>
      </w:r>
      <w:r>
        <w:rPr>
          <w:rFonts w:hint="eastAsia"/>
          <w:color w:val="auto"/>
          <w:sz w:val="24"/>
          <w:szCs w:val="24"/>
          <w:highlight w:val="none"/>
        </w:rPr>
        <w:t>执行技术标准</w:t>
      </w:r>
      <w:r>
        <w:rPr>
          <w:color w:val="auto"/>
          <w:sz w:val="24"/>
          <w:szCs w:val="24"/>
          <w:highlight w:val="none"/>
        </w:rPr>
        <w:t>：</w:t>
      </w:r>
    </w:p>
    <w:p w14:paraId="1A4F01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w:t>
      </w:r>
      <w:r>
        <w:rPr>
          <w:rFonts w:hint="eastAsia"/>
          <w:color w:val="auto"/>
          <w:sz w:val="24"/>
          <w:szCs w:val="24"/>
          <w:highlight w:val="none"/>
        </w:rPr>
        <w:t>．中华人民共和国国家标准《房产测量规范》(GB/T17986.1-2000)。</w:t>
      </w:r>
    </w:p>
    <w:p w14:paraId="37AB25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color w:val="auto"/>
          <w:sz w:val="24"/>
          <w:szCs w:val="24"/>
          <w:highlight w:val="none"/>
        </w:rPr>
        <w:t>2</w:t>
      </w:r>
      <w:r>
        <w:rPr>
          <w:rFonts w:hint="eastAsia"/>
          <w:color w:val="auto"/>
          <w:sz w:val="24"/>
          <w:szCs w:val="24"/>
          <w:highlight w:val="none"/>
        </w:rPr>
        <w:t>．《重庆市房屋面积测算实施细则》(渝规资规范[2019]15号)等。</w:t>
      </w:r>
    </w:p>
    <w:p w14:paraId="7EB8A51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四</w:t>
      </w:r>
      <w:r>
        <w:rPr>
          <w:rFonts w:eastAsia="黑体"/>
          <w:b/>
          <w:color w:val="auto"/>
          <w:sz w:val="24"/>
          <w:szCs w:val="24"/>
          <w:highlight w:val="none"/>
        </w:rPr>
        <w:t>条：</w:t>
      </w:r>
      <w:r>
        <w:rPr>
          <w:rFonts w:hint="eastAsia"/>
          <w:color w:val="auto"/>
          <w:sz w:val="24"/>
          <w:szCs w:val="24"/>
          <w:highlight w:val="none"/>
        </w:rPr>
        <w:t>技术服务期限</w:t>
      </w:r>
      <w:r>
        <w:rPr>
          <w:color w:val="auto"/>
          <w:sz w:val="24"/>
          <w:szCs w:val="24"/>
          <w:highlight w:val="none"/>
        </w:rPr>
        <w:t>：</w:t>
      </w:r>
    </w:p>
    <w:p w14:paraId="44B0C2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u w:val="single"/>
        </w:rPr>
      </w:pPr>
      <w:r>
        <w:rPr>
          <w:rFonts w:hint="eastAsia"/>
          <w:color w:val="auto"/>
          <w:sz w:val="24"/>
          <w:szCs w:val="24"/>
          <w:highlight w:val="none"/>
        </w:rPr>
        <w:t>本次测绘工期自甲方提供完有关资料之日起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15</w:t>
      </w:r>
      <w:r>
        <w:rPr>
          <w:rFonts w:hint="eastAsia"/>
          <w:color w:val="auto"/>
          <w:sz w:val="24"/>
          <w:szCs w:val="24"/>
          <w:highlight w:val="none"/>
          <w:u w:val="single"/>
        </w:rPr>
        <w:t xml:space="preserve">  </w:t>
      </w:r>
      <w:r>
        <w:rPr>
          <w:rFonts w:hint="eastAsia"/>
          <w:color w:val="auto"/>
          <w:sz w:val="24"/>
          <w:szCs w:val="24"/>
          <w:highlight w:val="none"/>
        </w:rPr>
        <w:t>个工作日内完成(不包含甲方核对，公示，检查，建盘时间及市局备案时间)。如因自然条件影响以及非乙方原因造成停工，工期相应顺延。</w:t>
      </w:r>
    </w:p>
    <w:p w14:paraId="7A3A0E40">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五</w:t>
      </w:r>
      <w:r>
        <w:rPr>
          <w:rFonts w:eastAsia="黑体"/>
          <w:b/>
          <w:color w:val="auto"/>
          <w:sz w:val="24"/>
          <w:szCs w:val="24"/>
          <w:highlight w:val="none"/>
        </w:rPr>
        <w:t>条：</w:t>
      </w:r>
      <w:r>
        <w:rPr>
          <w:color w:val="auto"/>
          <w:sz w:val="24"/>
          <w:szCs w:val="24"/>
          <w:highlight w:val="none"/>
        </w:rPr>
        <w:t xml:space="preserve">甲方向乙方支付技术服务报酬及支付方式为：   </w:t>
      </w:r>
    </w:p>
    <w:p w14:paraId="10E84A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highlight w:val="none"/>
          <w:lang w:val="en-US" w:eastAsia="zh-CN"/>
        </w:rPr>
      </w:pPr>
      <w:r>
        <w:rPr>
          <w:rFonts w:hint="eastAsia"/>
          <w:color w:val="auto"/>
          <w:sz w:val="24"/>
          <w:szCs w:val="24"/>
          <w:highlight w:val="none"/>
          <w:lang w:val="en-US" w:eastAsia="zh-CN"/>
        </w:rPr>
        <w:t>1.</w:t>
      </w:r>
      <w:r>
        <w:rPr>
          <w:rFonts w:hint="eastAsia" w:eastAsia="宋体"/>
          <w:color w:val="auto"/>
          <w:sz w:val="24"/>
          <w:szCs w:val="24"/>
          <w:highlight w:val="none"/>
          <w:lang w:val="en-US" w:eastAsia="zh-CN"/>
        </w:rPr>
        <w:t>本项目技术服务费总计为人民币               元(大写:                           )</w:t>
      </w:r>
      <w:r>
        <w:rPr>
          <w:rFonts w:hint="eastAsia"/>
          <w:color w:val="auto"/>
          <w:sz w:val="24"/>
          <w:szCs w:val="24"/>
          <w:highlight w:val="none"/>
        </w:rPr>
        <w:t>。</w:t>
      </w:r>
    </w:p>
    <w:p w14:paraId="26FD91A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color w:val="auto"/>
          <w:sz w:val="24"/>
          <w:szCs w:val="24"/>
          <w:highlight w:val="none"/>
          <w:lang w:val="en-US" w:eastAsia="zh-CN"/>
        </w:rPr>
      </w:pPr>
      <w:r>
        <w:rPr>
          <w:color w:val="auto"/>
          <w:sz w:val="24"/>
          <w:szCs w:val="24"/>
          <w:highlight w:val="none"/>
        </w:rPr>
        <w:t xml:space="preserve">   </w:t>
      </w:r>
      <w:r>
        <w:rPr>
          <w:rFonts w:hint="eastAsia" w:eastAsia="宋体"/>
          <w:color w:val="auto"/>
          <w:sz w:val="24"/>
          <w:szCs w:val="24"/>
          <w:highlight w:val="none"/>
          <w:lang w:val="en-US" w:eastAsia="zh-CN"/>
        </w:rPr>
        <w:t xml:space="preserve">    2.</w:t>
      </w:r>
      <w:r>
        <w:rPr>
          <w:rFonts w:hint="eastAsia"/>
          <w:color w:val="auto"/>
          <w:sz w:val="24"/>
          <w:szCs w:val="24"/>
          <w:highlight w:val="none"/>
          <w:lang w:val="en-US" w:eastAsia="zh-CN"/>
        </w:rPr>
        <w:t>支付约定：</w:t>
      </w:r>
      <w:r>
        <w:rPr>
          <w:rFonts w:hint="eastAsia" w:eastAsia="宋体"/>
          <w:color w:val="auto"/>
          <w:sz w:val="24"/>
          <w:szCs w:val="24"/>
          <w:highlight w:val="none"/>
          <w:lang w:val="en-US" w:eastAsia="zh-CN"/>
        </w:rPr>
        <w:t>乙方向甲方</w:t>
      </w:r>
      <w:r>
        <w:rPr>
          <w:rFonts w:hint="eastAsia" w:eastAsia="宋体"/>
          <w:color w:val="auto"/>
          <w:sz w:val="24"/>
          <w:szCs w:val="24"/>
          <w:highlight w:val="none"/>
          <w:lang w:val="en-US" w:eastAsia="zh-CN"/>
        </w:rPr>
        <w:t>提交符合《房产测量规范》（GB/T 17986）及重庆市地方标准的</w:t>
      </w:r>
      <w:r>
        <w:rPr>
          <w:rFonts w:hint="eastAsia" w:eastAsia="宋体"/>
          <w:color w:val="auto"/>
          <w:sz w:val="24"/>
          <w:szCs w:val="24"/>
          <w:highlight w:val="none"/>
          <w:lang w:val="en-US" w:eastAsia="zh-CN"/>
        </w:rPr>
        <w:t>电子测绘报告（ 电子文档 1 份）和足额普通增值税发票；甲方在 5个工作日内一次性支付合同全款。</w:t>
      </w:r>
    </w:p>
    <w:p w14:paraId="2F93C61D">
      <w:pPr>
        <w:keepNext w:val="0"/>
        <w:keepLines w:val="0"/>
        <w:pageBreakBefore w:val="0"/>
        <w:widowControl/>
        <w:kinsoku w:val="0"/>
        <w:wordWrap/>
        <w:overflowPunct/>
        <w:topLinePunct w:val="0"/>
        <w:autoSpaceDE w:val="0"/>
        <w:autoSpaceDN w:val="0"/>
        <w:bidi w:val="0"/>
        <w:adjustRightInd w:val="0"/>
        <w:snapToGrid w:val="0"/>
        <w:spacing w:line="400" w:lineRule="exact"/>
        <w:ind w:firstLine="547" w:firstLineChars="227"/>
        <w:textAlignment w:val="baseline"/>
        <w:rPr>
          <w:rFonts w:hint="eastAsia" w:eastAsia="黑体"/>
          <w:b/>
          <w:color w:val="auto"/>
          <w:sz w:val="24"/>
          <w:szCs w:val="24"/>
          <w:highlight w:val="none"/>
        </w:rPr>
      </w:pPr>
      <w:r>
        <w:rPr>
          <w:rFonts w:eastAsia="黑体"/>
          <w:b/>
          <w:color w:val="auto"/>
          <w:sz w:val="24"/>
          <w:szCs w:val="24"/>
          <w:highlight w:val="none"/>
        </w:rPr>
        <w:t>乙方开户银行名称、地址和帐号为：</w:t>
      </w:r>
    </w:p>
    <w:p w14:paraId="624921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b/>
          <w:color w:val="auto"/>
          <w:sz w:val="24"/>
          <w:szCs w:val="24"/>
          <w:highlight w:val="none"/>
          <w:lang w:val="en-US" w:eastAsia="zh-CN"/>
        </w:rPr>
      </w:pPr>
      <w:r>
        <w:rPr>
          <w:rFonts w:hint="eastAsia"/>
          <w:b/>
          <w:color w:val="auto"/>
          <w:sz w:val="24"/>
          <w:szCs w:val="24"/>
          <w:highlight w:val="none"/>
        </w:rPr>
        <w:t>开户名：</w:t>
      </w:r>
      <w:r>
        <w:rPr>
          <w:rFonts w:hint="eastAsia"/>
          <w:color w:val="auto"/>
          <w:sz w:val="24"/>
          <w:szCs w:val="24"/>
          <w:highlight w:val="none"/>
          <w:u w:val="single"/>
          <w:lang w:val="en-US" w:eastAsia="zh-CN"/>
        </w:rPr>
        <w:t xml:space="preserve">                          </w:t>
      </w:r>
    </w:p>
    <w:p w14:paraId="252C908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default" w:eastAsia="宋体"/>
          <w:b/>
          <w:color w:val="auto"/>
          <w:sz w:val="24"/>
          <w:szCs w:val="24"/>
          <w:highlight w:val="none"/>
          <w:u w:val="single"/>
          <w:lang w:val="en-US" w:eastAsia="zh-CN"/>
        </w:rPr>
      </w:pPr>
      <w:r>
        <w:rPr>
          <w:b/>
          <w:color w:val="auto"/>
          <w:sz w:val="24"/>
          <w:szCs w:val="24"/>
          <w:highlight w:val="none"/>
        </w:rPr>
        <w:t>开户银行：</w:t>
      </w:r>
      <w:r>
        <w:rPr>
          <w:rFonts w:hint="eastAsia"/>
          <w:color w:val="auto"/>
          <w:sz w:val="24"/>
          <w:szCs w:val="24"/>
          <w:highlight w:val="none"/>
          <w:u w:val="single"/>
          <w:lang w:val="en-US" w:eastAsia="zh-CN"/>
        </w:rPr>
        <w:t xml:space="preserve">                        </w:t>
      </w:r>
    </w:p>
    <w:p w14:paraId="72439E06">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highlight w:val="none"/>
          <w:u w:val="single"/>
          <w:lang w:val="en-US" w:eastAsia="zh-CN"/>
        </w:rPr>
      </w:pPr>
      <w:r>
        <w:rPr>
          <w:b/>
          <w:color w:val="auto"/>
          <w:sz w:val="24"/>
          <w:szCs w:val="24"/>
          <w:highlight w:val="none"/>
        </w:rPr>
        <w:t>地址：</w:t>
      </w:r>
      <w:r>
        <w:rPr>
          <w:rFonts w:hint="eastAsia"/>
          <w:color w:val="auto"/>
          <w:sz w:val="24"/>
          <w:szCs w:val="24"/>
          <w:highlight w:val="none"/>
          <w:u w:val="single"/>
          <w:lang w:val="en-US" w:eastAsia="zh-CN"/>
        </w:rPr>
        <w:t xml:space="preserve">                            </w:t>
      </w:r>
    </w:p>
    <w:p w14:paraId="02AF9C79">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color w:val="auto"/>
          <w:sz w:val="24"/>
          <w:szCs w:val="24"/>
          <w:highlight w:val="none"/>
          <w:u w:val="single"/>
        </w:rPr>
      </w:pPr>
      <w:r>
        <w:rPr>
          <w:b/>
          <w:color w:val="auto"/>
          <w:sz w:val="24"/>
          <w:szCs w:val="24"/>
          <w:highlight w:val="none"/>
        </w:rPr>
        <w:t>帐号：</w:t>
      </w:r>
      <w:r>
        <w:rPr>
          <w:rFonts w:hint="eastAsia"/>
          <w:color w:val="auto"/>
          <w:sz w:val="24"/>
          <w:szCs w:val="24"/>
          <w:highlight w:val="none"/>
          <w:u w:val="single"/>
          <w:lang w:val="en-US" w:eastAsia="zh-CN"/>
        </w:rPr>
        <w:t xml:space="preserve">                            </w:t>
      </w:r>
    </w:p>
    <w:p w14:paraId="11A651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六</w:t>
      </w:r>
      <w:r>
        <w:rPr>
          <w:rFonts w:eastAsia="黑体"/>
          <w:b/>
          <w:color w:val="auto"/>
          <w:sz w:val="24"/>
          <w:szCs w:val="24"/>
          <w:highlight w:val="none"/>
        </w:rPr>
        <w:t>条：</w:t>
      </w:r>
      <w:r>
        <w:rPr>
          <w:rFonts w:hint="eastAsia"/>
          <w:color w:val="auto"/>
          <w:sz w:val="24"/>
          <w:szCs w:val="24"/>
          <w:highlight w:val="none"/>
        </w:rPr>
        <w:t>提交甲方成果资料如下</w:t>
      </w:r>
      <w:r>
        <w:rPr>
          <w:color w:val="auto"/>
          <w:sz w:val="24"/>
          <w:szCs w:val="24"/>
          <w:highlight w:val="none"/>
        </w:rPr>
        <w:t>：</w:t>
      </w:r>
    </w:p>
    <w:p w14:paraId="3B6BC71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rFonts w:hint="eastAsia"/>
          <w:color w:val="auto"/>
          <w:sz w:val="24"/>
          <w:szCs w:val="24"/>
          <w:highlight w:val="none"/>
        </w:rPr>
        <w:t>□预售房屋面积测算报告书三套。</w:t>
      </w:r>
    </w:p>
    <w:p w14:paraId="44B57D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竣工房屋面积测算报告书</w:t>
      </w:r>
      <w:r>
        <w:rPr>
          <w:rFonts w:hint="eastAsia" w:eastAsia="宋体"/>
          <w:color w:val="auto"/>
          <w:sz w:val="24"/>
          <w:szCs w:val="24"/>
          <w:highlight w:val="none"/>
          <w:lang w:val="en-US" w:eastAsia="zh-CN"/>
        </w:rPr>
        <w:t>肆</w:t>
      </w:r>
      <w:r>
        <w:rPr>
          <w:rFonts w:hint="eastAsia"/>
          <w:color w:val="auto"/>
          <w:sz w:val="24"/>
          <w:szCs w:val="24"/>
          <w:highlight w:val="none"/>
        </w:rPr>
        <w:t>套。</w:t>
      </w:r>
    </w:p>
    <w:p w14:paraId="134A866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rFonts w:hint="eastAsia"/>
          <w:color w:val="auto"/>
          <w:sz w:val="24"/>
          <w:szCs w:val="24"/>
          <w:highlight w:val="none"/>
        </w:rPr>
        <w:t>□委托房屋面积测算报告书两套。</w:t>
      </w:r>
    </w:p>
    <w:p w14:paraId="330F49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color w:val="auto"/>
          <w:sz w:val="24"/>
          <w:szCs w:val="24"/>
          <w:highlight w:val="none"/>
        </w:rPr>
        <w:t>□重庆市房屋面积测算报告书（2014年群众房屋办证问题项目）两套。</w:t>
      </w:r>
    </w:p>
    <w:p w14:paraId="2B0BC8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七</w:t>
      </w:r>
      <w:r>
        <w:rPr>
          <w:rFonts w:eastAsia="黑体"/>
          <w:b/>
          <w:color w:val="auto"/>
          <w:sz w:val="24"/>
          <w:szCs w:val="24"/>
          <w:highlight w:val="none"/>
        </w:rPr>
        <w:t>条：</w:t>
      </w:r>
      <w:r>
        <w:rPr>
          <w:rFonts w:hint="eastAsia"/>
          <w:color w:val="auto"/>
          <w:sz w:val="24"/>
          <w:szCs w:val="24"/>
          <w:highlight w:val="none"/>
        </w:rPr>
        <w:t>甲乙</w:t>
      </w:r>
      <w:r>
        <w:rPr>
          <w:color w:val="auto"/>
          <w:sz w:val="24"/>
          <w:szCs w:val="24"/>
          <w:highlight w:val="none"/>
        </w:rPr>
        <w:t>双方确定因履行本合同应遵守的保密义务如下：</w:t>
      </w:r>
    </w:p>
    <w:p w14:paraId="574CAC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1．甲乙双方应对技术服务过程中涉及的商业秘密、所使用的基础地理信息数据按照国家有关保密法律法规的要求，采取有效的保密措施，严防泄密。</w:t>
      </w:r>
    </w:p>
    <w:p w14:paraId="23C13C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2．甲乙双方有义务保证各自参与本技术服务的工作人员履行保密责任，否则应承担相应法律责任。</w:t>
      </w:r>
    </w:p>
    <w:p w14:paraId="150D8001">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textAlignment w:val="baseline"/>
        <w:rPr>
          <w:color w:val="auto"/>
          <w:sz w:val="24"/>
          <w:szCs w:val="24"/>
          <w:highlight w:val="none"/>
        </w:rPr>
      </w:pPr>
      <w:r>
        <w:rPr>
          <w:rFonts w:eastAsia="黑体"/>
          <w:color w:val="auto"/>
          <w:sz w:val="24"/>
          <w:szCs w:val="24"/>
          <w:highlight w:val="none"/>
        </w:rPr>
        <w:t xml:space="preserve">   </w:t>
      </w:r>
      <w:r>
        <w:rPr>
          <w:rFonts w:eastAsia="黑体"/>
          <w:b/>
          <w:color w:val="auto"/>
          <w:sz w:val="24"/>
          <w:szCs w:val="24"/>
          <w:highlight w:val="none"/>
        </w:rPr>
        <w:t>第</w:t>
      </w:r>
      <w:r>
        <w:rPr>
          <w:rFonts w:hint="eastAsia" w:eastAsia="黑体"/>
          <w:b/>
          <w:color w:val="auto"/>
          <w:sz w:val="24"/>
          <w:szCs w:val="24"/>
          <w:highlight w:val="none"/>
          <w:lang w:val="en-US" w:eastAsia="zh-CN"/>
        </w:rPr>
        <w:t>八</w:t>
      </w:r>
      <w:r>
        <w:rPr>
          <w:rFonts w:eastAsia="黑体"/>
          <w:b/>
          <w:color w:val="auto"/>
          <w:sz w:val="24"/>
          <w:szCs w:val="24"/>
          <w:highlight w:val="none"/>
        </w:rPr>
        <w:t>条：</w:t>
      </w:r>
      <w:r>
        <w:rPr>
          <w:color w:val="auto"/>
          <w:sz w:val="24"/>
          <w:szCs w:val="24"/>
          <w:highlight w:val="none"/>
        </w:rPr>
        <w:t>双方确定：</w:t>
      </w:r>
    </w:p>
    <w:p w14:paraId="1256D542">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color w:val="auto"/>
          <w:sz w:val="24"/>
          <w:szCs w:val="24"/>
          <w:highlight w:val="none"/>
        </w:rPr>
      </w:pPr>
      <w:r>
        <w:rPr>
          <w:color w:val="auto"/>
          <w:sz w:val="24"/>
          <w:szCs w:val="24"/>
          <w:highlight w:val="none"/>
        </w:rPr>
        <w:t xml:space="preserve">   1．在本合同有效期内，甲方利用乙方提交的技术服务工作成果所完成的新的技术成果，归</w:t>
      </w:r>
      <w:r>
        <w:rPr>
          <w:rFonts w:hint="eastAsia"/>
          <w:color w:val="auto"/>
          <w:sz w:val="24"/>
          <w:szCs w:val="24"/>
          <w:highlight w:val="none"/>
          <w:u w:val="single"/>
        </w:rPr>
        <w:t xml:space="preserve"> </w:t>
      </w:r>
      <w:r>
        <w:rPr>
          <w:color w:val="auto"/>
          <w:sz w:val="24"/>
          <w:szCs w:val="24"/>
          <w:highlight w:val="none"/>
          <w:u w:val="single"/>
        </w:rPr>
        <w:t>甲</w:t>
      </w:r>
      <w:r>
        <w:rPr>
          <w:rFonts w:hint="eastAsia"/>
          <w:color w:val="auto"/>
          <w:sz w:val="24"/>
          <w:szCs w:val="24"/>
          <w:highlight w:val="none"/>
          <w:u w:val="single"/>
        </w:rPr>
        <w:t xml:space="preserve"> </w:t>
      </w:r>
      <w:r>
        <w:rPr>
          <w:color w:val="auto"/>
          <w:sz w:val="24"/>
          <w:szCs w:val="24"/>
          <w:highlight w:val="none"/>
        </w:rPr>
        <w:t>（甲、双）方所有。</w:t>
      </w:r>
    </w:p>
    <w:p w14:paraId="3926B8B5">
      <w:pPr>
        <w:keepNext w:val="0"/>
        <w:keepLines w:val="0"/>
        <w:pageBreakBefore w:val="0"/>
        <w:widowControl/>
        <w:kinsoku w:val="0"/>
        <w:wordWrap/>
        <w:overflowPunct/>
        <w:topLinePunct w:val="0"/>
        <w:autoSpaceDE w:val="0"/>
        <w:autoSpaceDN w:val="0"/>
        <w:bidi w:val="0"/>
        <w:adjustRightInd w:val="0"/>
        <w:snapToGrid w:val="0"/>
        <w:spacing w:line="400" w:lineRule="exact"/>
        <w:ind w:firstLine="141" w:firstLineChars="59"/>
        <w:textAlignment w:val="baseline"/>
        <w:rPr>
          <w:rFonts w:hint="eastAsia"/>
          <w:color w:val="auto"/>
          <w:sz w:val="24"/>
          <w:szCs w:val="24"/>
          <w:highlight w:val="none"/>
        </w:rPr>
      </w:pPr>
      <w:r>
        <w:rPr>
          <w:color w:val="auto"/>
          <w:sz w:val="24"/>
          <w:szCs w:val="24"/>
          <w:highlight w:val="none"/>
        </w:rPr>
        <w:t xml:space="preserve">   2．在本合同有效期内，乙方利用甲方提供的技术资料和工作条件所完成的新的技术成果，归</w:t>
      </w:r>
      <w:r>
        <w:rPr>
          <w:rFonts w:hint="eastAsia"/>
          <w:color w:val="auto"/>
          <w:sz w:val="24"/>
          <w:szCs w:val="24"/>
          <w:highlight w:val="none"/>
          <w:u w:val="single"/>
        </w:rPr>
        <w:t xml:space="preserve"> </w:t>
      </w:r>
      <w:r>
        <w:rPr>
          <w:color w:val="auto"/>
          <w:sz w:val="24"/>
          <w:szCs w:val="24"/>
          <w:highlight w:val="none"/>
          <w:u w:val="single"/>
        </w:rPr>
        <w:t>乙</w:t>
      </w:r>
      <w:r>
        <w:rPr>
          <w:rFonts w:hint="eastAsia"/>
          <w:color w:val="auto"/>
          <w:sz w:val="24"/>
          <w:szCs w:val="24"/>
          <w:highlight w:val="none"/>
          <w:u w:val="single"/>
        </w:rPr>
        <w:t xml:space="preserve"> </w:t>
      </w:r>
      <w:r>
        <w:rPr>
          <w:color w:val="auto"/>
          <w:sz w:val="24"/>
          <w:szCs w:val="24"/>
          <w:highlight w:val="none"/>
        </w:rPr>
        <w:t>（乙、双）方所有。</w:t>
      </w:r>
    </w:p>
    <w:p w14:paraId="1F546B0C">
      <w:pPr>
        <w:keepNext w:val="0"/>
        <w:keepLines w:val="0"/>
        <w:pageBreakBefore w:val="0"/>
        <w:widowControl/>
        <w:kinsoku w:val="0"/>
        <w:wordWrap/>
        <w:overflowPunct/>
        <w:topLinePunct w:val="0"/>
        <w:autoSpaceDE w:val="0"/>
        <w:autoSpaceDN w:val="0"/>
        <w:bidi w:val="0"/>
        <w:adjustRightInd w:val="0"/>
        <w:snapToGrid w:val="0"/>
        <w:spacing w:line="400" w:lineRule="exact"/>
        <w:ind w:firstLine="361" w:firstLineChars="150"/>
        <w:textAlignment w:val="baseline"/>
        <w:rPr>
          <w:rFonts w:hint="eastAsia"/>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lang w:val="en-US" w:eastAsia="zh-CN"/>
        </w:rPr>
        <w:t>九</w:t>
      </w:r>
      <w:r>
        <w:rPr>
          <w:rFonts w:eastAsia="黑体"/>
          <w:b/>
          <w:color w:val="auto"/>
          <w:sz w:val="24"/>
          <w:szCs w:val="24"/>
          <w:highlight w:val="none"/>
        </w:rPr>
        <w:t>条：</w:t>
      </w:r>
      <w:r>
        <w:rPr>
          <w:color w:val="auto"/>
          <w:sz w:val="24"/>
          <w:szCs w:val="28"/>
          <w:highlight w:val="none"/>
        </w:rPr>
        <w:t>甲乙双方确定，按以下约定承担各自的义务：</w:t>
      </w:r>
    </w:p>
    <w:p w14:paraId="3AAE1F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w:t>
      </w:r>
      <w:r>
        <w:rPr>
          <w:rFonts w:hint="eastAsia"/>
          <w:color w:val="auto"/>
          <w:sz w:val="24"/>
          <w:szCs w:val="24"/>
          <w:highlight w:val="none"/>
        </w:rPr>
        <w:t>甲方的义务</w:t>
      </w:r>
      <w:r>
        <w:rPr>
          <w:color w:val="auto"/>
          <w:sz w:val="24"/>
          <w:szCs w:val="28"/>
          <w:highlight w:val="none"/>
        </w:rPr>
        <w:t>：</w:t>
      </w:r>
    </w:p>
    <w:p w14:paraId="58C72B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w:t>
      </w:r>
      <w:r>
        <w:rPr>
          <w:rFonts w:hint="eastAsia"/>
          <w:color w:val="auto"/>
          <w:sz w:val="24"/>
          <w:szCs w:val="24"/>
          <w:highlight w:val="none"/>
        </w:rPr>
        <w:t>自本合同签订之日起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个工作日内甲方向乙方提交有关资料和文件，并保证向乙方提供的资料真实、合法、有效；</w:t>
      </w:r>
    </w:p>
    <w:p w14:paraId="57761E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color w:val="auto"/>
          <w:sz w:val="24"/>
          <w:szCs w:val="24"/>
          <w:highlight w:val="none"/>
        </w:rPr>
        <w:t>（</w:t>
      </w: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甲方应当协助乙方的测绘人员顺利进场，并提供必要的工作条件；</w:t>
      </w:r>
    </w:p>
    <w:p w14:paraId="6EA3C1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甲方保证按期足额将技术服务经费拨付给乙方。</w:t>
      </w:r>
    </w:p>
    <w:p w14:paraId="6F78F5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乙方的义务</w:t>
      </w:r>
      <w:r>
        <w:rPr>
          <w:color w:val="auto"/>
          <w:sz w:val="24"/>
          <w:szCs w:val="28"/>
          <w:highlight w:val="none"/>
        </w:rPr>
        <w:t>：</w:t>
      </w:r>
    </w:p>
    <w:p w14:paraId="2A7BA1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（1）</w:t>
      </w:r>
      <w:r>
        <w:rPr>
          <w:rFonts w:hint="eastAsia"/>
          <w:color w:val="auto"/>
          <w:sz w:val="24"/>
          <w:szCs w:val="24"/>
          <w:highlight w:val="none"/>
        </w:rPr>
        <w:t>本合同签订且甲方提供完有关资料后</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个工作日内组织人员进行作业；</w:t>
      </w:r>
    </w:p>
    <w:p w14:paraId="745395E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严格按照相关技术标准执行，确保本项目如期保质保量完成。</w:t>
      </w:r>
    </w:p>
    <w:p w14:paraId="6BF04B2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十</w:t>
      </w:r>
      <w:r>
        <w:rPr>
          <w:rFonts w:eastAsia="黑体"/>
          <w:b/>
          <w:color w:val="auto"/>
          <w:sz w:val="24"/>
          <w:szCs w:val="24"/>
          <w:highlight w:val="none"/>
        </w:rPr>
        <w:t>条：</w:t>
      </w:r>
      <w:r>
        <w:rPr>
          <w:color w:val="auto"/>
          <w:sz w:val="24"/>
          <w:szCs w:val="28"/>
          <w:highlight w:val="none"/>
        </w:rPr>
        <w:t>甲乙双方确定，按以下约定承担各自的违约责任：</w:t>
      </w:r>
    </w:p>
    <w:p w14:paraId="691342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highlight w:val="none"/>
        </w:rPr>
      </w:pPr>
      <w:r>
        <w:rPr>
          <w:color w:val="auto"/>
          <w:sz w:val="24"/>
          <w:szCs w:val="24"/>
          <w:highlight w:val="none"/>
        </w:rPr>
        <w:t>1．</w:t>
      </w:r>
      <w:r>
        <w:rPr>
          <w:rFonts w:hint="eastAsia" w:ascii="宋体" w:hAnsi="宋体"/>
          <w:bCs/>
          <w:color w:val="auto"/>
          <w:kern w:val="0"/>
          <w:sz w:val="24"/>
          <w:szCs w:val="24"/>
          <w:highlight w:val="none"/>
        </w:rPr>
        <w:t>甲方的违约责任：</w:t>
      </w:r>
    </w:p>
    <w:p w14:paraId="6007C8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color w:val="auto"/>
          <w:sz w:val="24"/>
          <w:szCs w:val="24"/>
          <w:highlight w:val="none"/>
        </w:rPr>
        <w:t>□合同签订后，由于甲方违约而造成合同终止的，甲方向乙方按本合同总价的</w:t>
      </w:r>
      <w:r>
        <w:rPr>
          <w:rFonts w:hint="eastAsia"/>
          <w:color w:val="auto"/>
          <w:sz w:val="24"/>
          <w:szCs w:val="24"/>
          <w:highlight w:val="none"/>
          <w:u w:val="single"/>
        </w:rPr>
        <w:t xml:space="preserve"> / </w:t>
      </w:r>
      <w:r>
        <w:rPr>
          <w:rFonts w:hint="eastAsia"/>
          <w:b/>
          <w:color w:val="auto"/>
          <w:sz w:val="24"/>
          <w:szCs w:val="24"/>
          <w:highlight w:val="none"/>
        </w:rPr>
        <w:t xml:space="preserve"> </w:t>
      </w:r>
      <w:r>
        <w:rPr>
          <w:color w:val="auto"/>
          <w:sz w:val="24"/>
          <w:szCs w:val="24"/>
          <w:highlight w:val="none"/>
        </w:rPr>
        <w:t>%</w:t>
      </w:r>
      <w:r>
        <w:rPr>
          <w:rFonts w:hint="eastAsia"/>
          <w:color w:val="auto"/>
          <w:sz w:val="24"/>
          <w:szCs w:val="24"/>
          <w:highlight w:val="none"/>
        </w:rPr>
        <w:t>支付违约金。</w:t>
      </w:r>
    </w:p>
    <w:p w14:paraId="6C4443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rFonts w:hint="eastAsia"/>
          <w:color w:val="auto"/>
          <w:sz w:val="24"/>
          <w:szCs w:val="24"/>
          <w:highlight w:val="none"/>
        </w:rPr>
        <w:t>□由于甲方提供的资料不齐或有错误而造成停窝工时，本合同工期相应顺延。</w:t>
      </w:r>
    </w:p>
    <w:p w14:paraId="6EAD61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rFonts w:hint="eastAsia"/>
          <w:color w:val="auto"/>
          <w:sz w:val="24"/>
          <w:szCs w:val="24"/>
          <w:highlight w:val="none"/>
        </w:rPr>
        <w:t>□委托测绘根据委托方委托事项进行面积量算，该测绘成果可用于甲方进行数据核实，本委托报告书不用于办理产权，由此产生的一切经济和法律后果由委托方自行承担。</w:t>
      </w:r>
    </w:p>
    <w:p w14:paraId="54261E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Cs/>
          <w:color w:val="auto"/>
          <w:kern w:val="0"/>
          <w:sz w:val="24"/>
          <w:szCs w:val="24"/>
          <w:highlight w:val="none"/>
        </w:rPr>
      </w:pPr>
      <w:r>
        <w:rPr>
          <w:rFonts w:hint="eastAsia"/>
          <w:color w:val="auto"/>
          <w:sz w:val="24"/>
          <w:szCs w:val="24"/>
          <w:highlight w:val="none"/>
        </w:rPr>
        <w:t>2</w:t>
      </w:r>
      <w:r>
        <w:rPr>
          <w:color w:val="auto"/>
          <w:sz w:val="24"/>
          <w:szCs w:val="24"/>
          <w:highlight w:val="none"/>
        </w:rPr>
        <w:t>．</w:t>
      </w:r>
      <w:r>
        <w:rPr>
          <w:rFonts w:hint="eastAsia" w:ascii="宋体" w:hAnsi="宋体"/>
          <w:bCs/>
          <w:color w:val="auto"/>
          <w:kern w:val="0"/>
          <w:sz w:val="24"/>
          <w:szCs w:val="24"/>
          <w:highlight w:val="none"/>
        </w:rPr>
        <w:t>乙方的违约责任：</w:t>
      </w:r>
    </w:p>
    <w:p w14:paraId="7A5AB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本合同签订后，由于乙方违约而造成合同终止的，乙方向甲方按本合同总价的</w:t>
      </w:r>
      <w:r>
        <w:rPr>
          <w:rFonts w:hint="eastAsia"/>
          <w:b/>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r>
        <w:rPr>
          <w:color w:val="auto"/>
          <w:sz w:val="24"/>
          <w:szCs w:val="24"/>
          <w:highlight w:val="none"/>
        </w:rPr>
        <w:t>%</w:t>
      </w:r>
      <w:r>
        <w:rPr>
          <w:rFonts w:hint="eastAsia"/>
          <w:color w:val="auto"/>
          <w:sz w:val="24"/>
          <w:szCs w:val="24"/>
          <w:highlight w:val="none"/>
        </w:rPr>
        <w:t>支付违约金；</w:t>
      </w:r>
    </w:p>
    <w:p w14:paraId="6F4F845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乙方提供的测绘成果质量不合格的，乙方应负责无偿予以重测或采取补救措施，以达到质量要求。返工周期为</w:t>
      </w:r>
      <w:r>
        <w:rPr>
          <w:color w:val="auto"/>
          <w:sz w:val="24"/>
          <w:szCs w:val="24"/>
          <w:highlight w:val="none"/>
        </w:rPr>
        <w:t>15</w:t>
      </w:r>
      <w:r>
        <w:rPr>
          <w:rFonts w:hint="eastAsia"/>
          <w:color w:val="auto"/>
          <w:sz w:val="24"/>
          <w:szCs w:val="24"/>
          <w:highlight w:val="none"/>
        </w:rPr>
        <w:t>天，并向甲方提供测绘成果；</w:t>
      </w:r>
    </w:p>
    <w:p w14:paraId="6638A6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color w:val="auto"/>
          <w:sz w:val="24"/>
          <w:szCs w:val="24"/>
          <w:highlight w:val="none"/>
        </w:rPr>
      </w:pPr>
      <w:r>
        <w:rPr>
          <w:color w:val="auto"/>
          <w:sz w:val="24"/>
          <w:szCs w:val="24"/>
          <w:highlight w:val="none"/>
        </w:rPr>
        <w:t>（3）</w:t>
      </w:r>
      <w:r>
        <w:rPr>
          <w:rFonts w:hint="eastAsia"/>
          <w:color w:val="auto"/>
          <w:sz w:val="24"/>
          <w:szCs w:val="24"/>
          <w:highlight w:val="none"/>
        </w:rPr>
        <w:t>乙方因测绘错误给甲方所造成的所有经济损失，赔偿总额不得超过所收取测绘费的总额。</w:t>
      </w:r>
    </w:p>
    <w:p w14:paraId="562F3A2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color w:val="auto"/>
          <w:sz w:val="24"/>
          <w:szCs w:val="24"/>
          <w:highlight w:val="none"/>
        </w:rPr>
      </w:pPr>
      <w:r>
        <w:rPr>
          <w:rFonts w:eastAsia="黑体"/>
          <w:b/>
          <w:color w:val="auto"/>
          <w:sz w:val="24"/>
          <w:szCs w:val="24"/>
          <w:highlight w:val="none"/>
        </w:rPr>
        <w:t>第</w:t>
      </w:r>
      <w:r>
        <w:rPr>
          <w:rFonts w:hint="eastAsia" w:eastAsia="黑体"/>
          <w:b/>
          <w:color w:val="auto"/>
          <w:sz w:val="24"/>
          <w:szCs w:val="24"/>
          <w:highlight w:val="none"/>
        </w:rPr>
        <w:t>十</w:t>
      </w:r>
      <w:r>
        <w:rPr>
          <w:rFonts w:hint="eastAsia" w:eastAsia="黑体"/>
          <w:b/>
          <w:color w:val="auto"/>
          <w:sz w:val="24"/>
          <w:szCs w:val="24"/>
          <w:highlight w:val="none"/>
          <w:lang w:val="en-US" w:eastAsia="zh-CN"/>
        </w:rPr>
        <w:t>一</w:t>
      </w:r>
      <w:r>
        <w:rPr>
          <w:rFonts w:eastAsia="黑体"/>
          <w:b/>
          <w:color w:val="auto"/>
          <w:sz w:val="24"/>
          <w:szCs w:val="24"/>
          <w:highlight w:val="none"/>
        </w:rPr>
        <w:t>条：</w:t>
      </w:r>
      <w:r>
        <w:rPr>
          <w:color w:val="auto"/>
          <w:sz w:val="24"/>
          <w:szCs w:val="24"/>
          <w:highlight w:val="none"/>
        </w:rPr>
        <w:t>甲乙双方确定，如遇连续高温、雨雾等严重影响外业作业的天气时工期相应顺延。如出现不可抗力（指地震、台风、水灾、火灾、战争以及其它本合同各方不能预见，并且对其发生和后果不能防止或不能避免且不可克服的客观情况）致使本合同不能继续履行的情况，可由双方进行协商解除本合同。</w:t>
      </w:r>
    </w:p>
    <w:p w14:paraId="52C3EE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highlight w:val="none"/>
        </w:rPr>
      </w:pPr>
      <w:r>
        <w:rPr>
          <w:rFonts w:ascii="宋体" w:hAnsi="宋体"/>
          <w:b/>
          <w:color w:val="auto"/>
          <w:sz w:val="24"/>
          <w:szCs w:val="24"/>
          <w:highlight w:val="none"/>
        </w:rPr>
        <w:t>第</w:t>
      </w:r>
      <w:r>
        <w:rPr>
          <w:rFonts w:hint="eastAsia" w:ascii="宋体" w:hAnsi="宋体"/>
          <w:b/>
          <w:color w:val="auto"/>
          <w:sz w:val="24"/>
          <w:szCs w:val="24"/>
          <w:highlight w:val="none"/>
        </w:rPr>
        <w:t>十</w:t>
      </w:r>
      <w:r>
        <w:rPr>
          <w:rFonts w:hint="eastAsia" w:ascii="宋体" w:hAnsi="宋体" w:eastAsia="宋体"/>
          <w:b/>
          <w:color w:val="auto"/>
          <w:sz w:val="24"/>
          <w:szCs w:val="24"/>
          <w:highlight w:val="none"/>
          <w:lang w:val="en-US" w:eastAsia="zh-CN"/>
        </w:rPr>
        <w:t>二</w:t>
      </w:r>
      <w:r>
        <w:rPr>
          <w:rFonts w:ascii="宋体" w:hAnsi="宋体"/>
          <w:b/>
          <w:color w:val="auto"/>
          <w:sz w:val="24"/>
          <w:szCs w:val="24"/>
          <w:highlight w:val="none"/>
        </w:rPr>
        <w:t>条：</w:t>
      </w:r>
      <w:r>
        <w:rPr>
          <w:rFonts w:ascii="宋体" w:hAnsi="宋体"/>
          <w:color w:val="auto"/>
          <w:sz w:val="24"/>
          <w:szCs w:val="24"/>
          <w:highlight w:val="none"/>
        </w:rPr>
        <w:t>甲乙双方因履行本合同而发生的争议，</w:t>
      </w:r>
      <w:r>
        <w:rPr>
          <w:rFonts w:hint="eastAsia" w:ascii="宋体" w:hAnsi="宋体"/>
          <w:color w:val="auto"/>
          <w:sz w:val="24"/>
          <w:szCs w:val="24"/>
          <w:highlight w:val="none"/>
        </w:rPr>
        <w:t>由双方当事人协商解决或由双方主管部门协调，协商或调解不成的，当事人双方同意向重庆仲裁委员会申请仲裁。</w:t>
      </w:r>
    </w:p>
    <w:p w14:paraId="61C033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b/>
          <w:bCs/>
          <w:color w:val="auto"/>
          <w:sz w:val="28"/>
          <w:highlight w:val="none"/>
        </w:rPr>
      </w:pPr>
      <w:r>
        <w:rPr>
          <w:rFonts w:hint="eastAsia" w:ascii="宋体" w:hAnsi="宋体"/>
          <w:b/>
          <w:color w:val="auto"/>
          <w:sz w:val="24"/>
          <w:szCs w:val="24"/>
          <w:highlight w:val="none"/>
        </w:rPr>
        <w:t>第十</w:t>
      </w:r>
      <w:r>
        <w:rPr>
          <w:rFonts w:hint="eastAsia" w:ascii="宋体" w:hAnsi="宋体" w:eastAsia="宋体"/>
          <w:b/>
          <w:color w:val="auto"/>
          <w:sz w:val="24"/>
          <w:szCs w:val="24"/>
          <w:highlight w:val="none"/>
          <w:lang w:val="en-US" w:eastAsia="zh-CN"/>
        </w:rPr>
        <w:t>三</w:t>
      </w:r>
      <w:r>
        <w:rPr>
          <w:rFonts w:hint="eastAsia" w:ascii="宋体" w:hAnsi="宋体"/>
          <w:b/>
          <w:color w:val="auto"/>
          <w:sz w:val="24"/>
          <w:szCs w:val="24"/>
          <w:highlight w:val="none"/>
        </w:rPr>
        <w:t>条：</w:t>
      </w:r>
      <w:r>
        <w:rPr>
          <w:rFonts w:hint="eastAsia" w:ascii="宋体" w:hAnsi="宋体"/>
          <w:color w:val="auto"/>
          <w:sz w:val="24"/>
          <w:szCs w:val="24"/>
          <w:highlight w:val="none"/>
        </w:rPr>
        <w:t>其他约定</w:t>
      </w:r>
    </w:p>
    <w:p w14:paraId="4A7558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．凡因房屋规划调整或设计变更，甲方未通知乙方，而引起的面积差异，其后果由甲方自负。</w:t>
      </w:r>
    </w:p>
    <w:p w14:paraId="709F9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．凡由于乙方原因造成的测绘数据误差超过重庆市相关规定，则由乙方进行修正。</w:t>
      </w:r>
    </w:p>
    <w:p w14:paraId="64DDE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highlight w:val="none"/>
        </w:rPr>
      </w:pPr>
      <w:r>
        <w:rPr>
          <w:rFonts w:hint="eastAsia" w:ascii="宋体" w:hAnsi="宋体"/>
          <w:color w:val="auto"/>
          <w:sz w:val="24"/>
          <w:szCs w:val="24"/>
          <w:highlight w:val="none"/>
        </w:rPr>
        <w:t>3．本合同项目成果版权归甲方所有，未经甲方允许乙方不得擅自使用，乙方技术优势中用于支撑项目建设的科技成果归乙方所有。</w:t>
      </w:r>
    </w:p>
    <w:p w14:paraId="53A3D3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highlight w:val="none"/>
        </w:rPr>
      </w:pPr>
      <w:r>
        <w:rPr>
          <w:rFonts w:ascii="宋体" w:hAnsi="宋体"/>
          <w:b/>
          <w:color w:val="auto"/>
          <w:sz w:val="24"/>
          <w:szCs w:val="24"/>
          <w:highlight w:val="none"/>
        </w:rPr>
        <w:t>第十</w:t>
      </w:r>
      <w:r>
        <w:rPr>
          <w:rFonts w:hint="eastAsia" w:ascii="宋体" w:hAnsi="宋体" w:eastAsia="宋体"/>
          <w:b/>
          <w:color w:val="auto"/>
          <w:sz w:val="24"/>
          <w:szCs w:val="24"/>
          <w:highlight w:val="none"/>
          <w:lang w:val="en-US" w:eastAsia="zh-CN"/>
        </w:rPr>
        <w:t>四</w:t>
      </w:r>
      <w:r>
        <w:rPr>
          <w:rFonts w:ascii="宋体" w:hAnsi="宋体"/>
          <w:b/>
          <w:color w:val="auto"/>
          <w:sz w:val="24"/>
          <w:szCs w:val="24"/>
          <w:highlight w:val="none"/>
        </w:rPr>
        <w:t>条：</w:t>
      </w:r>
      <w:r>
        <w:rPr>
          <w:rFonts w:ascii="宋体" w:hAnsi="宋体"/>
          <w:color w:val="auto"/>
          <w:sz w:val="24"/>
          <w:szCs w:val="24"/>
          <w:highlight w:val="none"/>
        </w:rPr>
        <w:t>本合同执行过程中的未尽事宜，甲乙双方应本着实事求是友好协商的态度加以解决。双方协商一致的，签订补充协议，补充协议与本合同具有同等效力。</w:t>
      </w:r>
    </w:p>
    <w:p w14:paraId="5B9359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highlight w:val="none"/>
        </w:rPr>
      </w:pPr>
      <w:r>
        <w:rPr>
          <w:rFonts w:ascii="宋体" w:hAnsi="宋体"/>
          <w:b/>
          <w:color w:val="auto"/>
          <w:sz w:val="24"/>
          <w:szCs w:val="24"/>
          <w:highlight w:val="none"/>
        </w:rPr>
        <w:t>第十</w:t>
      </w:r>
      <w:r>
        <w:rPr>
          <w:rFonts w:hint="eastAsia" w:ascii="宋体" w:hAnsi="宋体" w:eastAsia="宋体"/>
          <w:b/>
          <w:color w:val="auto"/>
          <w:sz w:val="24"/>
          <w:szCs w:val="24"/>
          <w:highlight w:val="none"/>
          <w:lang w:val="en-US" w:eastAsia="zh-CN"/>
        </w:rPr>
        <w:t>五</w:t>
      </w:r>
      <w:r>
        <w:rPr>
          <w:rFonts w:ascii="宋体" w:hAnsi="宋体"/>
          <w:b/>
          <w:color w:val="auto"/>
          <w:sz w:val="24"/>
          <w:szCs w:val="24"/>
          <w:highlight w:val="none"/>
        </w:rPr>
        <w:t>条：</w:t>
      </w:r>
      <w:r>
        <w:rPr>
          <w:color w:val="auto"/>
          <w:sz w:val="24"/>
          <w:szCs w:val="24"/>
          <w:highlight w:val="none"/>
        </w:rPr>
        <w:t>本合同一式</w:t>
      </w:r>
      <w:r>
        <w:rPr>
          <w:rFonts w:hint="eastAsia"/>
          <w:color w:val="auto"/>
          <w:sz w:val="24"/>
          <w:szCs w:val="24"/>
          <w:highlight w:val="none"/>
          <w:u w:val="single"/>
        </w:rPr>
        <w:t xml:space="preserve"> 肆 </w:t>
      </w:r>
      <w:r>
        <w:rPr>
          <w:color w:val="auto"/>
          <w:sz w:val="24"/>
          <w:szCs w:val="24"/>
          <w:highlight w:val="none"/>
        </w:rPr>
        <w:t>份, 甲</w:t>
      </w:r>
      <w:r>
        <w:rPr>
          <w:rFonts w:hint="eastAsia" w:eastAsia="宋体"/>
          <w:color w:val="auto"/>
          <w:sz w:val="24"/>
          <w:szCs w:val="24"/>
          <w:highlight w:val="none"/>
          <w:lang w:eastAsia="zh-CN"/>
        </w:rPr>
        <w:t>、</w:t>
      </w:r>
      <w:r>
        <w:rPr>
          <w:color w:val="auto"/>
          <w:sz w:val="24"/>
          <w:szCs w:val="24"/>
          <w:highlight w:val="none"/>
        </w:rPr>
        <w:t>乙</w:t>
      </w:r>
      <w:r>
        <w:rPr>
          <w:rFonts w:hint="eastAsia" w:eastAsia="宋体"/>
          <w:color w:val="auto"/>
          <w:sz w:val="24"/>
          <w:szCs w:val="24"/>
          <w:highlight w:val="none"/>
          <w:lang w:val="en-US" w:eastAsia="zh-CN"/>
        </w:rPr>
        <w:t>方各执</w:t>
      </w:r>
      <w:r>
        <w:rPr>
          <w:color w:val="auto"/>
          <w:sz w:val="24"/>
          <w:szCs w:val="24"/>
          <w:highlight w:val="none"/>
        </w:rPr>
        <w:t>方</w:t>
      </w:r>
      <w:r>
        <w:rPr>
          <w:rFonts w:hint="eastAsia"/>
          <w:color w:val="auto"/>
          <w:sz w:val="24"/>
          <w:szCs w:val="24"/>
          <w:highlight w:val="none"/>
          <w:u w:val="single"/>
        </w:rPr>
        <w:t xml:space="preserve"> 贰 </w:t>
      </w:r>
      <w:r>
        <w:rPr>
          <w:color w:val="auto"/>
          <w:sz w:val="24"/>
          <w:szCs w:val="24"/>
          <w:highlight w:val="none"/>
        </w:rPr>
        <w:t>份，具有同等法律效力。</w:t>
      </w:r>
    </w:p>
    <w:p w14:paraId="51F073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宋体" w:hAnsi="宋体"/>
          <w:color w:val="auto"/>
          <w:sz w:val="24"/>
          <w:szCs w:val="24"/>
          <w:highlight w:val="none"/>
        </w:rPr>
      </w:pPr>
      <w:r>
        <w:rPr>
          <w:rFonts w:ascii="宋体" w:hAnsi="宋体"/>
          <w:b/>
          <w:color w:val="auto"/>
          <w:sz w:val="24"/>
          <w:szCs w:val="24"/>
          <w:highlight w:val="none"/>
        </w:rPr>
        <w:t>第十</w:t>
      </w:r>
      <w:r>
        <w:rPr>
          <w:rFonts w:hint="eastAsia" w:ascii="宋体" w:hAnsi="宋体" w:eastAsia="宋体"/>
          <w:b/>
          <w:color w:val="auto"/>
          <w:sz w:val="24"/>
          <w:szCs w:val="24"/>
          <w:highlight w:val="none"/>
          <w:lang w:val="en-US" w:eastAsia="zh-CN"/>
        </w:rPr>
        <w:t>六</w:t>
      </w:r>
      <w:r>
        <w:rPr>
          <w:rFonts w:ascii="宋体" w:hAnsi="宋体"/>
          <w:b/>
          <w:color w:val="auto"/>
          <w:sz w:val="24"/>
          <w:szCs w:val="24"/>
          <w:highlight w:val="none"/>
        </w:rPr>
        <w:t>条：</w:t>
      </w:r>
      <w:r>
        <w:rPr>
          <w:rFonts w:ascii="宋体" w:hAnsi="宋体"/>
          <w:color w:val="auto"/>
          <w:sz w:val="24"/>
          <w:szCs w:val="24"/>
          <w:highlight w:val="none"/>
        </w:rPr>
        <w:t>本合同由甲乙双方代表签字，加盖公章或合同专用章后生效，全部成果交接完毕和技术服务费结算完成后，本合同终止。</w:t>
      </w:r>
    </w:p>
    <w:p w14:paraId="3E35607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r>
        <w:rPr>
          <w:color w:val="auto"/>
          <w:sz w:val="24"/>
          <w:szCs w:val="24"/>
          <w:highlight w:val="none"/>
        </w:rPr>
        <w:t>（以下无正文）</w:t>
      </w:r>
    </w:p>
    <w:p w14:paraId="7CB3E5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p>
    <w:p w14:paraId="1FE410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p>
    <w:p w14:paraId="04CA9EB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p>
    <w:p w14:paraId="4EA294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eastAsia="宋体"/>
          <w:color w:val="auto"/>
          <w:sz w:val="24"/>
          <w:szCs w:val="24"/>
          <w:highlight w:val="none"/>
          <w:lang w:val="en-US" w:eastAsia="zh-CN"/>
        </w:rPr>
      </w:pP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本页为签署页）</w:t>
      </w:r>
    </w:p>
    <w:p w14:paraId="1D9E9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color w:val="auto"/>
          <w:sz w:val="24"/>
          <w:szCs w:val="24"/>
          <w:highlight w:val="none"/>
        </w:rPr>
      </w:pPr>
    </w:p>
    <w:p w14:paraId="4D49BA27">
      <w:pPr>
        <w:keepNext w:val="0"/>
        <w:keepLines w:val="0"/>
        <w:pageBreakBefore w:val="0"/>
        <w:widowControl/>
        <w:kinsoku w:val="0"/>
        <w:wordWrap/>
        <w:overflowPunct/>
        <w:topLinePunct w:val="0"/>
        <w:autoSpaceDE w:val="0"/>
        <w:autoSpaceDN w:val="0"/>
        <w:bidi w:val="0"/>
        <w:adjustRightInd w:val="0"/>
        <w:snapToGrid w:val="0"/>
        <w:spacing w:line="400" w:lineRule="exact"/>
        <w:ind w:firstLine="280" w:firstLineChars="100"/>
        <w:textAlignment w:val="baseline"/>
        <w:rPr>
          <w:rFonts w:ascii="宋体" w:hAnsi="宋体"/>
          <w:color w:val="auto"/>
          <w:sz w:val="28"/>
          <w:highlight w:val="none"/>
        </w:rPr>
      </w:pPr>
      <w:r>
        <w:rPr>
          <w:rFonts w:hint="eastAsia" w:ascii="宋体" w:hAnsi="宋体"/>
          <w:color w:val="auto"/>
          <w:sz w:val="28"/>
          <w:highlight w:val="none"/>
        </w:rPr>
        <w:t>甲    方：</w:t>
      </w:r>
      <w:r>
        <w:rPr>
          <w:rFonts w:hint="eastAsia" w:ascii="宋体" w:hAnsi="宋体"/>
          <w:color w:val="auto"/>
          <w:sz w:val="28"/>
          <w:highlight w:val="none"/>
          <w:u w:val="single"/>
        </w:rPr>
        <w:t xml:space="preserve">                               （盖章）</w:t>
      </w:r>
    </w:p>
    <w:p w14:paraId="7D7DBF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u w:val="single"/>
        </w:rPr>
      </w:pPr>
      <w:r>
        <w:rPr>
          <w:rFonts w:hint="eastAsia" w:ascii="宋体" w:hAnsi="宋体"/>
          <w:color w:val="auto"/>
          <w:sz w:val="28"/>
          <w:highlight w:val="none"/>
        </w:rPr>
        <w:t>法定代表人／委托代理人：</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（签名）</w:t>
      </w:r>
    </w:p>
    <w:p w14:paraId="65C4317F">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highlight w:val="none"/>
          <w:u w:val="single"/>
        </w:rPr>
      </w:pPr>
      <w:r>
        <w:rPr>
          <w:rFonts w:hint="eastAsia" w:ascii="宋体" w:hAnsi="宋体"/>
          <w:color w:val="auto"/>
          <w:sz w:val="28"/>
          <w:highlight w:val="none"/>
        </w:rPr>
        <w:t>纳税人识别号</w:t>
      </w:r>
      <w:r>
        <w:rPr>
          <w:rFonts w:ascii="宋体" w:hAnsi="宋体"/>
          <w:color w:val="auto"/>
          <w:sz w:val="28"/>
          <w:highlight w:val="none"/>
        </w:rPr>
        <w:t>：</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14:paraId="4DCF029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highlight w:val="none"/>
          <w:u w:val="single"/>
        </w:rPr>
      </w:pPr>
      <w:r>
        <w:rPr>
          <w:rFonts w:hint="eastAsia" w:ascii="宋体" w:hAnsi="宋体"/>
          <w:color w:val="auto"/>
          <w:sz w:val="28"/>
          <w:highlight w:val="none"/>
        </w:rPr>
        <w:t>开票地址</w:t>
      </w:r>
      <w:r>
        <w:rPr>
          <w:rFonts w:ascii="宋体" w:hAnsi="宋体"/>
          <w:color w:val="auto"/>
          <w:sz w:val="28"/>
          <w:highlight w:val="none"/>
        </w:rPr>
        <w:t>：</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14:paraId="52949F9E">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highlight w:val="none"/>
        </w:rPr>
      </w:pPr>
      <w:r>
        <w:rPr>
          <w:rFonts w:hint="eastAsia" w:ascii="宋体" w:hAnsi="宋体"/>
          <w:color w:val="auto"/>
          <w:sz w:val="28"/>
          <w:highlight w:val="none"/>
        </w:rPr>
        <w:t>开票电话</w:t>
      </w:r>
      <w:r>
        <w:rPr>
          <w:rFonts w:ascii="宋体" w:hAnsi="宋体"/>
          <w:color w:val="auto"/>
          <w:sz w:val="28"/>
          <w:highlight w:val="none"/>
        </w:rPr>
        <w:t>：</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14:paraId="69121E7A">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jc w:val="left"/>
        <w:textAlignment w:val="baseline"/>
        <w:rPr>
          <w:rFonts w:ascii="宋体" w:hAnsi="宋体"/>
          <w:color w:val="auto"/>
          <w:sz w:val="28"/>
          <w:highlight w:val="none"/>
        </w:rPr>
      </w:pPr>
      <w:r>
        <w:rPr>
          <w:rFonts w:hint="eastAsia" w:ascii="宋体" w:hAnsi="宋体"/>
          <w:color w:val="auto"/>
          <w:sz w:val="28"/>
          <w:highlight w:val="none"/>
        </w:rPr>
        <w:t>开户银行</w:t>
      </w:r>
      <w:r>
        <w:rPr>
          <w:rFonts w:ascii="宋体" w:hAnsi="宋体"/>
          <w:color w:val="auto"/>
          <w:sz w:val="28"/>
          <w:highlight w:val="none"/>
        </w:rPr>
        <w:t>：</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14:paraId="7214906B">
      <w:pPr>
        <w:keepNext w:val="0"/>
        <w:keepLines w:val="0"/>
        <w:pageBreakBefore w:val="0"/>
        <w:widowControl/>
        <w:tabs>
          <w:tab w:val="left" w:pos="851"/>
          <w:tab w:val="left" w:pos="993"/>
        </w:tabs>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highlight w:val="none"/>
        </w:rPr>
      </w:pPr>
      <w:r>
        <w:rPr>
          <w:rFonts w:hint="eastAsia" w:ascii="宋体" w:hAnsi="宋体"/>
          <w:color w:val="auto"/>
          <w:sz w:val="28"/>
          <w:highlight w:val="none"/>
        </w:rPr>
        <w:t>银行</w:t>
      </w:r>
      <w:r>
        <w:rPr>
          <w:rFonts w:ascii="宋体" w:hAnsi="宋体"/>
          <w:color w:val="auto"/>
          <w:sz w:val="28"/>
          <w:highlight w:val="none"/>
        </w:rPr>
        <w:t>账号：</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p>
    <w:p w14:paraId="5909C85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rPr>
      </w:pPr>
      <w:r>
        <w:rPr>
          <w:rFonts w:hint="eastAsia" w:ascii="宋体" w:hAnsi="宋体"/>
          <w:color w:val="auto"/>
          <w:sz w:val="28"/>
          <w:highlight w:val="none"/>
        </w:rPr>
        <w:t xml:space="preserve">                                     年     月     日</w:t>
      </w:r>
    </w:p>
    <w:p w14:paraId="3D8EC4B4">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rPr>
      </w:pPr>
    </w:p>
    <w:p w14:paraId="06247CBC">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rPr>
      </w:pPr>
    </w:p>
    <w:p w14:paraId="637DB3C9">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282" w:firstLineChars="101"/>
        <w:textAlignment w:val="baseline"/>
        <w:rPr>
          <w:rFonts w:ascii="宋体" w:hAnsi="宋体"/>
          <w:color w:val="auto"/>
          <w:sz w:val="28"/>
          <w:highlight w:val="none"/>
        </w:rPr>
      </w:pPr>
      <w:r>
        <w:rPr>
          <w:rFonts w:hint="eastAsia" w:ascii="宋体" w:hAnsi="宋体"/>
          <w:color w:val="auto"/>
          <w:sz w:val="28"/>
          <w:highlight w:val="none"/>
        </w:rPr>
        <w:t>乙   方：</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（盖章）</w:t>
      </w:r>
    </w:p>
    <w:p w14:paraId="35084C4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u w:val="single"/>
        </w:rPr>
      </w:pPr>
      <w:r>
        <w:rPr>
          <w:rFonts w:hint="eastAsia" w:ascii="宋体" w:hAnsi="宋体"/>
          <w:color w:val="auto"/>
          <w:sz w:val="28"/>
          <w:highlight w:val="none"/>
        </w:rPr>
        <w:t>法定代表人／委托代理人：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 xml:space="preserve"> （签名）</w:t>
      </w:r>
    </w:p>
    <w:p w14:paraId="4BF3BFE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u w:val="single"/>
          <w:lang w:val="en-US" w:eastAsia="zh-CN"/>
        </w:rPr>
      </w:pPr>
      <w:r>
        <w:rPr>
          <w:rFonts w:hint="eastAsia" w:ascii="宋体" w:hAnsi="宋体"/>
          <w:color w:val="auto"/>
          <w:sz w:val="28"/>
          <w:highlight w:val="none"/>
        </w:rPr>
        <w:t>纳税人识别号</w:t>
      </w:r>
      <w:r>
        <w:rPr>
          <w:rFonts w:ascii="宋体" w:hAnsi="宋体"/>
          <w:color w:val="auto"/>
          <w:sz w:val="28"/>
          <w:highlight w:val="none"/>
        </w:rPr>
        <w:t>：</w:t>
      </w:r>
      <w:r>
        <w:rPr>
          <w:rFonts w:hint="eastAsia" w:ascii="宋体" w:hAnsi="宋体"/>
          <w:color w:val="auto"/>
          <w:sz w:val="28"/>
          <w:highlight w:val="none"/>
          <w:u w:val="single"/>
          <w:lang w:val="en-US" w:eastAsia="zh-CN"/>
        </w:rPr>
        <w:t xml:space="preserve">                                        </w:t>
      </w:r>
    </w:p>
    <w:p w14:paraId="69D10600">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hint="eastAsia" w:ascii="宋体" w:hAnsi="宋体"/>
          <w:color w:val="auto"/>
          <w:sz w:val="28"/>
          <w:highlight w:val="none"/>
          <w:u w:val="single"/>
          <w:lang w:val="en-US" w:eastAsia="zh-CN"/>
        </w:rPr>
      </w:pPr>
      <w:r>
        <w:rPr>
          <w:rFonts w:hint="eastAsia" w:ascii="宋体" w:hAnsi="宋体"/>
          <w:color w:val="auto"/>
          <w:sz w:val="28"/>
          <w:highlight w:val="none"/>
        </w:rPr>
        <w:t>开户银行：</w:t>
      </w:r>
      <w:r>
        <w:rPr>
          <w:rFonts w:hint="eastAsia" w:ascii="宋体" w:hAnsi="宋体"/>
          <w:color w:val="auto"/>
          <w:sz w:val="28"/>
          <w:highlight w:val="none"/>
          <w:u w:val="single"/>
          <w:lang w:val="en-US" w:eastAsia="zh-CN"/>
        </w:rPr>
        <w:t xml:space="preserve">                                            </w:t>
      </w:r>
    </w:p>
    <w:p w14:paraId="14FF13E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highlight w:val="none"/>
        </w:rPr>
      </w:pPr>
      <w:r>
        <w:rPr>
          <w:rFonts w:hint="eastAsia" w:ascii="宋体" w:hAnsi="宋体"/>
          <w:color w:val="auto"/>
          <w:sz w:val="28"/>
          <w:highlight w:val="none"/>
        </w:rPr>
        <w:t>银行帐号：</w:t>
      </w:r>
      <w:r>
        <w:rPr>
          <w:rFonts w:hint="eastAsia" w:ascii="宋体" w:hAnsi="宋体"/>
          <w:color w:val="auto"/>
          <w:sz w:val="28"/>
          <w:highlight w:val="none"/>
          <w:u w:val="single"/>
          <w:lang w:val="en-US" w:eastAsia="zh-CN"/>
        </w:rPr>
        <w:t xml:space="preserve">                                            </w:t>
      </w:r>
    </w:p>
    <w:p w14:paraId="6931F58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1"/>
        <w:textAlignment w:val="baseline"/>
        <w:rPr>
          <w:rFonts w:ascii="宋体" w:hAnsi="宋体"/>
          <w:color w:val="auto"/>
          <w:sz w:val="28"/>
          <w:highlight w:val="none"/>
        </w:rPr>
      </w:pPr>
      <w:r>
        <w:rPr>
          <w:rFonts w:hint="eastAsia" w:ascii="宋体" w:hAnsi="宋体"/>
          <w:color w:val="auto"/>
          <w:sz w:val="28"/>
          <w:highlight w:val="none"/>
        </w:rPr>
        <w:t xml:space="preserve">                                     年     月     日</w:t>
      </w:r>
    </w:p>
    <w:p w14:paraId="3B094D42">
      <w:pPr>
        <w:rPr>
          <w:color w:val="auto"/>
          <w:sz w:val="28"/>
          <w:highlight w:val="none"/>
        </w:rPr>
      </w:pPr>
    </w:p>
    <w:p w14:paraId="6E340C6E">
      <w:pPr>
        <w:numPr>
          <w:ilvl w:val="0"/>
          <w:numId w:val="0"/>
        </w:numPr>
        <w:kinsoku w:val="0"/>
        <w:autoSpaceDE w:val="0"/>
        <w:autoSpaceDN w:val="0"/>
        <w:adjustRightInd w:val="0"/>
        <w:snapToGrid w:val="0"/>
        <w:spacing w:line="219" w:lineRule="auto"/>
        <w:jc w:val="center"/>
        <w:textAlignment w:val="baseline"/>
        <w:rPr>
          <w:rFonts w:ascii="黑体" w:hAnsi="黑体" w:eastAsia="黑体" w:cs="黑体"/>
          <w:color w:val="auto"/>
          <w:spacing w:val="3"/>
          <w:position w:val="1"/>
          <w:sz w:val="35"/>
          <w:szCs w:val="35"/>
          <w:highlight w:val="none"/>
        </w:rPr>
        <w:sectPr>
          <w:footerReference r:id="rId15" w:type="default"/>
          <w:pgSz w:w="11906" w:h="16839"/>
          <w:pgMar w:top="1431" w:right="1785" w:bottom="1222" w:left="1785" w:header="0" w:footer="853" w:gutter="0"/>
          <w:pgNumType w:fmt="decimal"/>
          <w:cols w:space="720" w:num="1"/>
        </w:sectPr>
      </w:pPr>
    </w:p>
    <w:p w14:paraId="77508D66">
      <w:pPr>
        <w:pStyle w:val="6"/>
        <w:spacing w:line="256" w:lineRule="auto"/>
        <w:rPr>
          <w:color w:val="auto"/>
          <w:highlight w:val="none"/>
        </w:rPr>
      </w:pPr>
      <w:bookmarkStart w:id="46" w:name="bookmark34"/>
      <w:bookmarkEnd w:id="46"/>
    </w:p>
    <w:p w14:paraId="0533FB33">
      <w:pPr>
        <w:spacing w:before="80" w:line="470" w:lineRule="exact"/>
        <w:ind w:left="2638"/>
        <w:outlineLvl w:val="0"/>
        <w:rPr>
          <w:rFonts w:ascii="黑体" w:hAnsi="黑体" w:eastAsia="黑体" w:cs="黑体"/>
          <w:color w:val="auto"/>
          <w:sz w:val="35"/>
          <w:szCs w:val="35"/>
          <w:highlight w:val="none"/>
        </w:rPr>
      </w:pPr>
      <w:bookmarkStart w:id="47" w:name="bookmark35"/>
      <w:bookmarkEnd w:id="47"/>
      <w:r>
        <w:rPr>
          <w:rFonts w:ascii="黑体" w:hAnsi="黑体" w:eastAsia="黑体" w:cs="黑体"/>
          <w:color w:val="auto"/>
          <w:spacing w:val="8"/>
          <w:position w:val="1"/>
          <w:sz w:val="35"/>
          <w:szCs w:val="35"/>
          <w:highlight w:val="none"/>
        </w:rPr>
        <w:t>第六篇 响应文件格式要求</w:t>
      </w:r>
    </w:p>
    <w:p w14:paraId="5DE066F0">
      <w:pPr>
        <w:spacing w:before="46" w:line="219" w:lineRule="auto"/>
        <w:ind w:left="1644"/>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w:t>
      </w:r>
      <w:r>
        <w:rPr>
          <w:rFonts w:ascii="宋体" w:hAnsi="宋体" w:eastAsia="宋体" w:cs="宋体"/>
          <w:color w:val="auto"/>
          <w:spacing w:val="-20"/>
          <w:sz w:val="24"/>
          <w:szCs w:val="24"/>
          <w:highlight w:val="none"/>
          <w:u w:val="single" w:color="auto"/>
        </w:rPr>
        <w:t>请响应供应商按以下顺序和格式制作响应文件并装订成册。</w:t>
      </w:r>
      <w:r>
        <w:rPr>
          <w:rFonts w:ascii="宋体" w:hAnsi="宋体" w:eastAsia="宋体" w:cs="宋体"/>
          <w:color w:val="auto"/>
          <w:spacing w:val="-20"/>
          <w:sz w:val="24"/>
          <w:szCs w:val="24"/>
          <w:highlight w:val="none"/>
        </w:rPr>
        <w:t>）</w:t>
      </w:r>
    </w:p>
    <w:p w14:paraId="4FBF2D08">
      <w:pPr>
        <w:pStyle w:val="6"/>
        <w:spacing w:line="264" w:lineRule="auto"/>
        <w:rPr>
          <w:color w:val="auto"/>
          <w:highlight w:val="none"/>
        </w:rPr>
      </w:pPr>
    </w:p>
    <w:p w14:paraId="37513E8F">
      <w:pPr>
        <w:pStyle w:val="6"/>
        <w:spacing w:line="264" w:lineRule="auto"/>
        <w:rPr>
          <w:color w:val="auto"/>
          <w:highlight w:val="none"/>
        </w:rPr>
      </w:pPr>
    </w:p>
    <w:p w14:paraId="6CA6E8BB">
      <w:pPr>
        <w:pStyle w:val="6"/>
        <w:spacing w:line="265" w:lineRule="auto"/>
        <w:rPr>
          <w:color w:val="auto"/>
          <w:highlight w:val="none"/>
        </w:rPr>
      </w:pPr>
    </w:p>
    <w:p w14:paraId="34651757">
      <w:pPr>
        <w:pStyle w:val="6"/>
        <w:spacing w:line="265" w:lineRule="auto"/>
        <w:rPr>
          <w:color w:val="auto"/>
          <w:highlight w:val="none"/>
        </w:rPr>
      </w:pPr>
    </w:p>
    <w:p w14:paraId="0A2C2B88">
      <w:pPr>
        <w:pStyle w:val="6"/>
        <w:spacing w:line="265" w:lineRule="auto"/>
        <w:rPr>
          <w:color w:val="auto"/>
          <w:highlight w:val="none"/>
        </w:rPr>
      </w:pPr>
    </w:p>
    <w:p w14:paraId="0581779C">
      <w:pPr>
        <w:spacing w:before="101" w:line="226" w:lineRule="auto"/>
        <w:rPr>
          <w:rFonts w:ascii="宋体" w:hAnsi="宋体" w:eastAsia="宋体" w:cs="宋体"/>
          <w:color w:val="auto"/>
          <w:sz w:val="31"/>
          <w:szCs w:val="31"/>
          <w:highlight w:val="none"/>
        </w:rPr>
      </w:pPr>
      <w:r>
        <w:rPr>
          <w:rFonts w:ascii="宋体" w:hAnsi="宋体" w:eastAsia="宋体" w:cs="宋体"/>
          <w:color w:val="auto"/>
          <w:spacing w:val="-18"/>
          <w:sz w:val="31"/>
          <w:szCs w:val="31"/>
          <w:highlight w:val="none"/>
        </w:rPr>
        <w:t>项目名称：</w:t>
      </w:r>
    </w:p>
    <w:p w14:paraId="25582414">
      <w:pPr>
        <w:pStyle w:val="6"/>
        <w:spacing w:line="242" w:lineRule="auto"/>
        <w:rPr>
          <w:color w:val="auto"/>
          <w:highlight w:val="none"/>
        </w:rPr>
      </w:pPr>
    </w:p>
    <w:p w14:paraId="6B3FDFB5">
      <w:pPr>
        <w:pStyle w:val="6"/>
        <w:spacing w:line="242" w:lineRule="auto"/>
        <w:rPr>
          <w:color w:val="auto"/>
          <w:highlight w:val="none"/>
        </w:rPr>
      </w:pPr>
    </w:p>
    <w:p w14:paraId="1E770998">
      <w:pPr>
        <w:pStyle w:val="6"/>
        <w:spacing w:line="242" w:lineRule="auto"/>
        <w:rPr>
          <w:color w:val="auto"/>
          <w:highlight w:val="none"/>
        </w:rPr>
      </w:pPr>
    </w:p>
    <w:p w14:paraId="023560DD">
      <w:pPr>
        <w:pStyle w:val="6"/>
        <w:spacing w:line="242" w:lineRule="auto"/>
        <w:rPr>
          <w:color w:val="auto"/>
          <w:highlight w:val="none"/>
        </w:rPr>
      </w:pPr>
    </w:p>
    <w:p w14:paraId="23695FE9">
      <w:pPr>
        <w:pStyle w:val="6"/>
        <w:spacing w:line="242" w:lineRule="auto"/>
        <w:rPr>
          <w:color w:val="auto"/>
          <w:highlight w:val="none"/>
        </w:rPr>
      </w:pPr>
    </w:p>
    <w:p w14:paraId="7B948E43">
      <w:pPr>
        <w:pStyle w:val="6"/>
        <w:spacing w:line="242" w:lineRule="auto"/>
        <w:rPr>
          <w:color w:val="auto"/>
          <w:highlight w:val="none"/>
        </w:rPr>
      </w:pPr>
    </w:p>
    <w:p w14:paraId="36738589">
      <w:pPr>
        <w:pStyle w:val="6"/>
        <w:spacing w:line="243" w:lineRule="auto"/>
        <w:rPr>
          <w:color w:val="auto"/>
          <w:highlight w:val="none"/>
        </w:rPr>
      </w:pPr>
    </w:p>
    <w:p w14:paraId="275F44DF">
      <w:pPr>
        <w:pStyle w:val="6"/>
        <w:spacing w:line="243" w:lineRule="auto"/>
        <w:rPr>
          <w:color w:val="auto"/>
          <w:highlight w:val="none"/>
        </w:rPr>
      </w:pPr>
    </w:p>
    <w:p w14:paraId="64488C02">
      <w:pPr>
        <w:pStyle w:val="6"/>
        <w:spacing w:line="243" w:lineRule="auto"/>
        <w:rPr>
          <w:color w:val="auto"/>
          <w:highlight w:val="none"/>
        </w:rPr>
      </w:pPr>
    </w:p>
    <w:p w14:paraId="6DDB87C3">
      <w:pPr>
        <w:spacing w:before="269" w:line="222" w:lineRule="auto"/>
        <w:ind w:left="3156"/>
        <w:rPr>
          <w:rFonts w:ascii="宋体" w:hAnsi="宋体" w:eastAsia="宋体" w:cs="宋体"/>
          <w:color w:val="auto"/>
          <w:sz w:val="83"/>
          <w:szCs w:val="83"/>
          <w:highlight w:val="none"/>
        </w:rPr>
      </w:pPr>
      <w:r>
        <w:rPr>
          <w:rFonts w:ascii="宋体" w:hAnsi="宋体" w:eastAsia="宋体" w:cs="宋体"/>
          <w:color w:val="auto"/>
          <w:spacing w:val="-30"/>
          <w:sz w:val="83"/>
          <w:szCs w:val="83"/>
          <w:highlight w:val="none"/>
        </w:rPr>
        <w:t>响应文件</w:t>
      </w:r>
    </w:p>
    <w:p w14:paraId="047A80EB">
      <w:pPr>
        <w:pStyle w:val="6"/>
        <w:spacing w:line="250" w:lineRule="auto"/>
        <w:rPr>
          <w:color w:val="auto"/>
          <w:highlight w:val="none"/>
        </w:rPr>
      </w:pPr>
    </w:p>
    <w:p w14:paraId="63C3C8FD">
      <w:pPr>
        <w:pStyle w:val="6"/>
        <w:spacing w:line="250" w:lineRule="auto"/>
        <w:rPr>
          <w:color w:val="auto"/>
          <w:highlight w:val="none"/>
        </w:rPr>
      </w:pPr>
    </w:p>
    <w:p w14:paraId="66BC7D7B">
      <w:pPr>
        <w:pStyle w:val="6"/>
        <w:spacing w:line="250" w:lineRule="auto"/>
        <w:rPr>
          <w:color w:val="auto"/>
          <w:highlight w:val="none"/>
        </w:rPr>
      </w:pPr>
    </w:p>
    <w:p w14:paraId="6A8D3036">
      <w:pPr>
        <w:pStyle w:val="6"/>
        <w:spacing w:line="250" w:lineRule="auto"/>
        <w:rPr>
          <w:color w:val="auto"/>
          <w:highlight w:val="none"/>
        </w:rPr>
      </w:pPr>
    </w:p>
    <w:p w14:paraId="616ADFCE">
      <w:pPr>
        <w:pStyle w:val="6"/>
        <w:spacing w:line="250" w:lineRule="auto"/>
        <w:rPr>
          <w:color w:val="auto"/>
          <w:highlight w:val="none"/>
        </w:rPr>
      </w:pPr>
    </w:p>
    <w:p w14:paraId="45984AFC">
      <w:pPr>
        <w:pStyle w:val="6"/>
        <w:spacing w:line="250" w:lineRule="auto"/>
        <w:rPr>
          <w:color w:val="auto"/>
          <w:highlight w:val="none"/>
        </w:rPr>
      </w:pPr>
    </w:p>
    <w:p w14:paraId="014DED6F">
      <w:pPr>
        <w:pStyle w:val="6"/>
        <w:spacing w:line="250" w:lineRule="auto"/>
        <w:rPr>
          <w:color w:val="auto"/>
          <w:highlight w:val="none"/>
        </w:rPr>
      </w:pPr>
    </w:p>
    <w:p w14:paraId="1E6A9D0D">
      <w:pPr>
        <w:pStyle w:val="6"/>
        <w:spacing w:line="250" w:lineRule="auto"/>
        <w:rPr>
          <w:color w:val="auto"/>
          <w:highlight w:val="none"/>
        </w:rPr>
      </w:pPr>
    </w:p>
    <w:p w14:paraId="06B7BD23">
      <w:pPr>
        <w:pStyle w:val="6"/>
        <w:spacing w:line="250" w:lineRule="auto"/>
        <w:rPr>
          <w:color w:val="auto"/>
          <w:highlight w:val="none"/>
        </w:rPr>
      </w:pPr>
    </w:p>
    <w:p w14:paraId="78CC7242">
      <w:pPr>
        <w:pStyle w:val="6"/>
        <w:spacing w:line="250" w:lineRule="auto"/>
        <w:rPr>
          <w:color w:val="auto"/>
          <w:highlight w:val="none"/>
        </w:rPr>
      </w:pPr>
    </w:p>
    <w:p w14:paraId="33019E28">
      <w:pPr>
        <w:pStyle w:val="6"/>
        <w:spacing w:line="250" w:lineRule="auto"/>
        <w:rPr>
          <w:color w:val="auto"/>
          <w:highlight w:val="none"/>
        </w:rPr>
      </w:pPr>
    </w:p>
    <w:p w14:paraId="47CA8683">
      <w:pPr>
        <w:pStyle w:val="6"/>
        <w:spacing w:line="250" w:lineRule="auto"/>
        <w:rPr>
          <w:color w:val="auto"/>
          <w:highlight w:val="none"/>
        </w:rPr>
      </w:pPr>
    </w:p>
    <w:p w14:paraId="5DA526DD">
      <w:pPr>
        <w:pStyle w:val="6"/>
        <w:spacing w:line="251" w:lineRule="auto"/>
        <w:rPr>
          <w:color w:val="auto"/>
          <w:highlight w:val="none"/>
        </w:rPr>
      </w:pPr>
    </w:p>
    <w:p w14:paraId="14CB82D8">
      <w:pPr>
        <w:pStyle w:val="6"/>
        <w:spacing w:line="251" w:lineRule="auto"/>
        <w:rPr>
          <w:color w:val="auto"/>
          <w:highlight w:val="none"/>
        </w:rPr>
      </w:pPr>
    </w:p>
    <w:p w14:paraId="3B09CB31">
      <w:pPr>
        <w:pStyle w:val="6"/>
        <w:spacing w:line="251" w:lineRule="auto"/>
        <w:rPr>
          <w:color w:val="auto"/>
          <w:highlight w:val="none"/>
        </w:rPr>
      </w:pPr>
    </w:p>
    <w:p w14:paraId="4C06C7F7">
      <w:pPr>
        <w:pStyle w:val="6"/>
        <w:spacing w:line="251" w:lineRule="auto"/>
        <w:rPr>
          <w:color w:val="auto"/>
          <w:highlight w:val="none"/>
        </w:rPr>
      </w:pPr>
    </w:p>
    <w:p w14:paraId="1A0D8C90">
      <w:pPr>
        <w:pStyle w:val="6"/>
        <w:spacing w:line="251" w:lineRule="auto"/>
        <w:rPr>
          <w:color w:val="auto"/>
          <w:highlight w:val="none"/>
        </w:rPr>
      </w:pPr>
    </w:p>
    <w:p w14:paraId="0D79770E">
      <w:pPr>
        <w:spacing w:before="101" w:line="225" w:lineRule="auto"/>
        <w:ind w:left="579"/>
        <w:rPr>
          <w:rFonts w:ascii="宋体" w:hAnsi="宋体" w:eastAsia="宋体" w:cs="宋体"/>
          <w:color w:val="auto"/>
          <w:sz w:val="31"/>
          <w:szCs w:val="31"/>
          <w:highlight w:val="none"/>
        </w:rPr>
      </w:pPr>
      <w:r>
        <w:rPr>
          <w:rFonts w:ascii="宋体" w:hAnsi="宋体" w:eastAsia="宋体" w:cs="宋体"/>
          <w:color w:val="auto"/>
          <w:spacing w:val="-22"/>
          <w:sz w:val="31"/>
          <w:szCs w:val="31"/>
          <w:highlight w:val="none"/>
        </w:rPr>
        <w:t>响应供应商</w:t>
      </w:r>
      <w:r>
        <w:rPr>
          <w:rFonts w:ascii="宋体" w:hAnsi="宋体" w:eastAsia="宋体" w:cs="宋体"/>
          <w:color w:val="auto"/>
          <w:spacing w:val="-46"/>
          <w:sz w:val="31"/>
          <w:szCs w:val="31"/>
          <w:highlight w:val="none"/>
        </w:rPr>
        <w:t>：</w:t>
      </w:r>
      <w:r>
        <w:rPr>
          <w:rFonts w:ascii="宋体" w:hAnsi="宋体" w:eastAsia="宋体" w:cs="宋体"/>
          <w:color w:val="auto"/>
          <w:sz w:val="31"/>
          <w:szCs w:val="31"/>
          <w:highlight w:val="none"/>
          <w:u w:val="single" w:color="auto"/>
        </w:rPr>
        <w:t xml:space="preserve">                        </w:t>
      </w:r>
      <w:r>
        <w:rPr>
          <w:rFonts w:ascii="宋体" w:hAnsi="宋体" w:eastAsia="宋体" w:cs="宋体"/>
          <w:color w:val="auto"/>
          <w:spacing w:val="-46"/>
          <w:sz w:val="31"/>
          <w:szCs w:val="31"/>
          <w:highlight w:val="none"/>
        </w:rPr>
        <w:t>（</w:t>
      </w:r>
      <w:r>
        <w:rPr>
          <w:rFonts w:ascii="宋体" w:hAnsi="宋体" w:eastAsia="宋体" w:cs="宋体"/>
          <w:color w:val="auto"/>
          <w:spacing w:val="-5"/>
          <w:sz w:val="31"/>
          <w:szCs w:val="31"/>
          <w:highlight w:val="none"/>
        </w:rPr>
        <w:t xml:space="preserve"> </w:t>
      </w:r>
      <w:r>
        <w:rPr>
          <w:rFonts w:ascii="宋体" w:hAnsi="宋体" w:eastAsia="宋体" w:cs="宋体"/>
          <w:color w:val="auto"/>
          <w:spacing w:val="-22"/>
          <w:sz w:val="31"/>
          <w:szCs w:val="31"/>
          <w:highlight w:val="none"/>
        </w:rPr>
        <w:t>盖单位公章）</w:t>
      </w:r>
    </w:p>
    <w:p w14:paraId="65599927">
      <w:pPr>
        <w:pStyle w:val="6"/>
        <w:spacing w:line="300" w:lineRule="auto"/>
        <w:rPr>
          <w:color w:val="auto"/>
          <w:highlight w:val="none"/>
        </w:rPr>
      </w:pPr>
    </w:p>
    <w:p w14:paraId="3A62599F">
      <w:pPr>
        <w:pStyle w:val="6"/>
        <w:spacing w:line="300" w:lineRule="auto"/>
        <w:rPr>
          <w:color w:val="auto"/>
          <w:highlight w:val="none"/>
        </w:rPr>
      </w:pPr>
    </w:p>
    <w:p w14:paraId="6DB992AB">
      <w:pPr>
        <w:pStyle w:val="6"/>
        <w:spacing w:line="301" w:lineRule="auto"/>
        <w:rPr>
          <w:color w:val="auto"/>
          <w:highlight w:val="none"/>
        </w:rPr>
      </w:pPr>
    </w:p>
    <w:p w14:paraId="732D27E2">
      <w:pPr>
        <w:spacing w:before="102" w:line="225" w:lineRule="auto"/>
        <w:ind w:left="564"/>
        <w:rPr>
          <w:rFonts w:ascii="宋体" w:hAnsi="宋体" w:eastAsia="宋体" w:cs="宋体"/>
          <w:color w:val="auto"/>
          <w:sz w:val="31"/>
          <w:szCs w:val="31"/>
          <w:highlight w:val="none"/>
        </w:rPr>
      </w:pPr>
      <w:r>
        <w:rPr>
          <w:rFonts w:ascii="宋体" w:hAnsi="宋体" w:eastAsia="宋体" w:cs="宋体"/>
          <w:color w:val="auto"/>
          <w:spacing w:val="-22"/>
          <w:sz w:val="31"/>
          <w:szCs w:val="31"/>
          <w:highlight w:val="none"/>
        </w:rPr>
        <w:t>法定代表人或其委托代理人</w:t>
      </w:r>
      <w:r>
        <w:rPr>
          <w:rFonts w:ascii="宋体" w:hAnsi="宋体" w:eastAsia="宋体" w:cs="宋体"/>
          <w:color w:val="auto"/>
          <w:spacing w:val="-46"/>
          <w:sz w:val="31"/>
          <w:szCs w:val="31"/>
          <w:highlight w:val="none"/>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46"/>
          <w:sz w:val="31"/>
          <w:szCs w:val="31"/>
          <w:highlight w:val="none"/>
        </w:rPr>
        <w:t>（</w:t>
      </w:r>
      <w:r>
        <w:rPr>
          <w:rFonts w:ascii="宋体" w:hAnsi="宋体" w:eastAsia="宋体" w:cs="宋体"/>
          <w:color w:val="auto"/>
          <w:spacing w:val="2"/>
          <w:sz w:val="31"/>
          <w:szCs w:val="31"/>
          <w:highlight w:val="none"/>
        </w:rPr>
        <w:t xml:space="preserve"> </w:t>
      </w:r>
      <w:r>
        <w:rPr>
          <w:rFonts w:ascii="宋体" w:hAnsi="宋体" w:eastAsia="宋体" w:cs="宋体"/>
          <w:color w:val="auto"/>
          <w:spacing w:val="-22"/>
          <w:sz w:val="31"/>
          <w:szCs w:val="31"/>
          <w:highlight w:val="none"/>
        </w:rPr>
        <w:t>签字）</w:t>
      </w:r>
    </w:p>
    <w:p w14:paraId="626BCD41">
      <w:pPr>
        <w:pStyle w:val="6"/>
        <w:spacing w:line="299" w:lineRule="auto"/>
        <w:rPr>
          <w:color w:val="auto"/>
          <w:highlight w:val="none"/>
        </w:rPr>
      </w:pPr>
    </w:p>
    <w:p w14:paraId="65764EA8">
      <w:pPr>
        <w:pStyle w:val="6"/>
        <w:spacing w:line="299" w:lineRule="auto"/>
        <w:rPr>
          <w:color w:val="auto"/>
          <w:highlight w:val="none"/>
        </w:rPr>
      </w:pPr>
    </w:p>
    <w:p w14:paraId="7C5518A2">
      <w:pPr>
        <w:pStyle w:val="6"/>
        <w:spacing w:line="300" w:lineRule="auto"/>
        <w:rPr>
          <w:color w:val="auto"/>
          <w:highlight w:val="none"/>
        </w:rPr>
      </w:pPr>
    </w:p>
    <w:p w14:paraId="187BEB70">
      <w:pPr>
        <w:spacing w:before="101" w:line="225" w:lineRule="auto"/>
        <w:ind w:left="3545"/>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27"/>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8"/>
          <w:sz w:val="31"/>
          <w:szCs w:val="31"/>
          <w:highlight w:val="none"/>
        </w:rPr>
        <w:t xml:space="preserve">    </w:t>
      </w:r>
      <w:r>
        <w:rPr>
          <w:rFonts w:ascii="宋体" w:hAnsi="宋体" w:eastAsia="宋体" w:cs="宋体"/>
          <w:color w:val="auto"/>
          <w:spacing w:val="-6"/>
          <w:sz w:val="31"/>
          <w:szCs w:val="31"/>
          <w:highlight w:val="none"/>
        </w:rPr>
        <w:t>日</w:t>
      </w:r>
    </w:p>
    <w:p w14:paraId="56C63401">
      <w:pPr>
        <w:spacing w:line="225" w:lineRule="auto"/>
        <w:rPr>
          <w:rFonts w:ascii="宋体" w:hAnsi="宋体" w:eastAsia="宋体" w:cs="宋体"/>
          <w:color w:val="auto"/>
          <w:sz w:val="31"/>
          <w:szCs w:val="31"/>
          <w:highlight w:val="none"/>
        </w:rPr>
        <w:sectPr>
          <w:footerReference r:id="rId16" w:type="default"/>
          <w:pgSz w:w="11907" w:h="16840"/>
          <w:pgMar w:top="1041" w:right="1786" w:bottom="1221" w:left="1320" w:header="0" w:footer="853" w:gutter="0"/>
          <w:pgNumType w:fmt="decimal"/>
          <w:cols w:space="720" w:num="1"/>
        </w:sectPr>
      </w:pPr>
    </w:p>
    <w:p w14:paraId="1C343685">
      <w:pPr>
        <w:spacing w:before="71" w:line="228" w:lineRule="auto"/>
        <w:ind w:left="4598"/>
        <w:rPr>
          <w:rFonts w:ascii="宋体" w:hAnsi="宋体" w:eastAsia="宋体" w:cs="宋体"/>
          <w:color w:val="auto"/>
          <w:sz w:val="35"/>
          <w:szCs w:val="35"/>
          <w:highlight w:val="none"/>
        </w:rPr>
      </w:pPr>
      <w:r>
        <w:rPr>
          <w:rFonts w:ascii="宋体" w:hAnsi="宋体" w:eastAsia="宋体" w:cs="宋体"/>
          <w:b/>
          <w:bCs/>
          <w:color w:val="auto"/>
          <w:spacing w:val="-41"/>
          <w:sz w:val="35"/>
          <w:szCs w:val="35"/>
          <w:highlight w:val="none"/>
        </w:rPr>
        <w:t>目</w:t>
      </w:r>
      <w:r>
        <w:rPr>
          <w:rFonts w:ascii="宋体" w:hAnsi="宋体" w:eastAsia="宋体" w:cs="宋体"/>
          <w:color w:val="auto"/>
          <w:spacing w:val="14"/>
          <w:sz w:val="35"/>
          <w:szCs w:val="35"/>
          <w:highlight w:val="none"/>
        </w:rPr>
        <w:t xml:space="preserve">  </w:t>
      </w:r>
      <w:r>
        <w:rPr>
          <w:rFonts w:ascii="宋体" w:hAnsi="宋体" w:eastAsia="宋体" w:cs="宋体"/>
          <w:b/>
          <w:bCs/>
          <w:color w:val="auto"/>
          <w:spacing w:val="-41"/>
          <w:sz w:val="35"/>
          <w:szCs w:val="35"/>
          <w:highlight w:val="none"/>
        </w:rPr>
        <w:t>录</w:t>
      </w:r>
    </w:p>
    <w:p w14:paraId="59B258CD">
      <w:pPr>
        <w:spacing w:before="53" w:line="220" w:lineRule="auto"/>
        <w:ind w:left="484"/>
        <w:outlineLvl w:val="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一、经济部分</w:t>
      </w:r>
    </w:p>
    <w:p w14:paraId="64A4505B">
      <w:pPr>
        <w:spacing w:before="95"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（一）报价函</w:t>
      </w:r>
    </w:p>
    <w:p w14:paraId="53B39F69">
      <w:pPr>
        <w:spacing w:before="94"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（二）明细报价表</w:t>
      </w:r>
    </w:p>
    <w:p w14:paraId="5650EC78">
      <w:pPr>
        <w:spacing w:before="95" w:line="220" w:lineRule="auto"/>
        <w:ind w:left="484"/>
        <w:outlineLvl w:val="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二、技术部分</w:t>
      </w:r>
    </w:p>
    <w:p w14:paraId="2C34B862">
      <w:pPr>
        <w:spacing w:before="95" w:line="220" w:lineRule="auto"/>
        <w:ind w:left="481"/>
        <w:outlineLvl w:val="9"/>
        <w:rPr>
          <w:rFonts w:ascii="宋体" w:hAnsi="宋体" w:eastAsia="宋体" w:cs="宋体"/>
          <w:color w:val="auto"/>
          <w:sz w:val="24"/>
          <w:szCs w:val="24"/>
          <w:highlight w:val="none"/>
        </w:rPr>
      </w:pPr>
      <w:bookmarkStart w:id="48" w:name="_Toc15408"/>
      <w:r>
        <w:rPr>
          <w:rFonts w:ascii="宋体" w:hAnsi="宋体" w:eastAsia="宋体" w:cs="宋体"/>
          <w:color w:val="auto"/>
          <w:spacing w:val="-2"/>
          <w:sz w:val="24"/>
          <w:szCs w:val="24"/>
          <w:highlight w:val="none"/>
        </w:rPr>
        <w:t>技术响应偏离表</w:t>
      </w:r>
      <w:bookmarkEnd w:id="48"/>
    </w:p>
    <w:p w14:paraId="4D8000C7">
      <w:pPr>
        <w:spacing w:before="93" w:line="220" w:lineRule="auto"/>
        <w:ind w:left="480"/>
        <w:outlineLvl w:val="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三、商务部分</w:t>
      </w:r>
    </w:p>
    <w:p w14:paraId="3AD6B3B9">
      <w:pPr>
        <w:spacing w:before="93" w:line="220" w:lineRule="auto"/>
        <w:ind w:left="49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（一）商务响应偏离表</w:t>
      </w:r>
    </w:p>
    <w:p w14:paraId="27B6003F">
      <w:pPr>
        <w:spacing w:before="95" w:line="220" w:lineRule="auto"/>
        <w:ind w:left="49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（二）其它优惠承诺</w:t>
      </w:r>
    </w:p>
    <w:p w14:paraId="59CD1896">
      <w:pPr>
        <w:spacing w:before="94" w:line="220" w:lineRule="auto"/>
        <w:ind w:left="503"/>
        <w:outlineLvl w:val="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四、资格条件及其他</w:t>
      </w:r>
    </w:p>
    <w:p w14:paraId="418D5359">
      <w:pPr>
        <w:spacing w:before="141"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（一）营业执照（副本）或事业单位法人证书（副本）复印件</w:t>
      </w:r>
    </w:p>
    <w:p w14:paraId="71E746BC">
      <w:pPr>
        <w:spacing w:before="157"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（二）法定代表人身份证明书（格式）</w:t>
      </w:r>
    </w:p>
    <w:p w14:paraId="6159A261">
      <w:pPr>
        <w:spacing w:before="155"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（三）法定代表人授权委托书（格式）</w:t>
      </w:r>
    </w:p>
    <w:p w14:paraId="4A42CD3E">
      <w:pPr>
        <w:spacing w:before="154" w:line="219" w:lineRule="auto"/>
        <w:ind w:left="492"/>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（四）基本资格条件承诺函（格式）</w:t>
      </w:r>
    </w:p>
    <w:p w14:paraId="679C34F4">
      <w:pPr>
        <w:spacing w:before="155" w:line="279" w:lineRule="auto"/>
        <w:ind w:right="2" w:firstLine="491"/>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（五）特定资格条件证书或证明文件（按询价通知书第一篇第三</w:t>
      </w:r>
      <w:r>
        <w:rPr>
          <w:rFonts w:ascii="宋体" w:hAnsi="宋体" w:eastAsia="宋体" w:cs="宋体"/>
          <w:color w:val="auto"/>
          <w:sz w:val="24"/>
          <w:szCs w:val="24"/>
          <w:highlight w:val="none"/>
        </w:rPr>
        <w:t xml:space="preserve">条第（二）项要求提 </w:t>
      </w:r>
      <w:r>
        <w:rPr>
          <w:rFonts w:ascii="宋体" w:hAnsi="宋体" w:eastAsia="宋体" w:cs="宋体"/>
          <w:color w:val="auto"/>
          <w:spacing w:val="-5"/>
          <w:sz w:val="24"/>
          <w:szCs w:val="24"/>
          <w:highlight w:val="none"/>
        </w:rPr>
        <w:t>供）</w:t>
      </w:r>
    </w:p>
    <w:p w14:paraId="4BF73AE3">
      <w:pPr>
        <w:spacing w:before="155" w:line="320" w:lineRule="auto"/>
        <w:ind w:firstLine="483"/>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说明：1.供应商按“多证合一</w:t>
      </w:r>
      <w:r>
        <w:rPr>
          <w:rFonts w:ascii="宋体" w:hAnsi="宋体" w:eastAsia="宋体" w:cs="宋体"/>
          <w:color w:val="auto"/>
          <w:spacing w:val="-81"/>
          <w:sz w:val="24"/>
          <w:szCs w:val="24"/>
          <w:highlight w:val="none"/>
        </w:rPr>
        <w:t xml:space="preserve"> </w:t>
      </w:r>
      <w:r>
        <w:rPr>
          <w:rFonts w:ascii="宋体" w:hAnsi="宋体" w:eastAsia="宋体" w:cs="宋体"/>
          <w:color w:val="auto"/>
          <w:sz w:val="24"/>
          <w:szCs w:val="24"/>
          <w:highlight w:val="none"/>
        </w:rPr>
        <w:t xml:space="preserve">”登记制度办理营业执照的，以供应商所提供的法人营 </w:t>
      </w:r>
      <w:r>
        <w:rPr>
          <w:rFonts w:ascii="宋体" w:hAnsi="宋体" w:eastAsia="宋体" w:cs="宋体"/>
          <w:color w:val="auto"/>
          <w:spacing w:val="-1"/>
          <w:sz w:val="24"/>
          <w:szCs w:val="24"/>
          <w:highlight w:val="none"/>
        </w:rPr>
        <w:t>业执照（副本）复印件为准。</w:t>
      </w:r>
    </w:p>
    <w:p w14:paraId="528870ED">
      <w:pPr>
        <w:spacing w:before="1" w:line="219" w:lineRule="auto"/>
        <w:ind w:left="484"/>
        <w:outlineLvl w:val="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五、其他应提供的资料</w:t>
      </w:r>
    </w:p>
    <w:p w14:paraId="18E356D5">
      <w:pPr>
        <w:spacing w:before="94" w:line="221" w:lineRule="auto"/>
        <w:ind w:left="481"/>
        <w:outlineLvl w:val="9"/>
        <w:rPr>
          <w:rFonts w:ascii="宋体" w:hAnsi="宋体" w:eastAsia="宋体" w:cs="宋体"/>
          <w:color w:val="auto"/>
          <w:sz w:val="24"/>
          <w:szCs w:val="24"/>
          <w:highlight w:val="none"/>
        </w:rPr>
      </w:pPr>
      <w:bookmarkStart w:id="49" w:name="_Toc11547"/>
      <w:r>
        <w:rPr>
          <w:rFonts w:ascii="宋体" w:hAnsi="宋体" w:eastAsia="宋体" w:cs="宋体"/>
          <w:color w:val="auto"/>
          <w:spacing w:val="-2"/>
          <w:sz w:val="24"/>
          <w:szCs w:val="24"/>
          <w:highlight w:val="none"/>
        </w:rPr>
        <w:t>其他与项目有关的资料</w:t>
      </w:r>
      <w:bookmarkEnd w:id="49"/>
    </w:p>
    <w:p w14:paraId="45B47DD8">
      <w:pPr>
        <w:spacing w:line="221" w:lineRule="auto"/>
        <w:outlineLvl w:val="9"/>
        <w:rPr>
          <w:rFonts w:ascii="宋体" w:hAnsi="宋体" w:eastAsia="宋体" w:cs="宋体"/>
          <w:color w:val="auto"/>
          <w:sz w:val="24"/>
          <w:szCs w:val="24"/>
          <w:highlight w:val="none"/>
        </w:rPr>
        <w:sectPr>
          <w:footerReference r:id="rId17" w:type="default"/>
          <w:pgSz w:w="11907" w:h="16840"/>
          <w:pgMar w:top="1064" w:right="1191" w:bottom="1221" w:left="1311" w:header="0" w:footer="853" w:gutter="0"/>
          <w:pgNumType w:fmt="decimal"/>
          <w:cols w:space="720" w:num="1"/>
        </w:sectPr>
      </w:pPr>
    </w:p>
    <w:p w14:paraId="1D908832">
      <w:pPr>
        <w:spacing w:before="53" w:line="242" w:lineRule="auto"/>
        <w:ind w:left="495"/>
        <w:outlineLvl w:val="1"/>
        <w:rPr>
          <w:rFonts w:ascii="黑体" w:hAnsi="黑体" w:eastAsia="黑体" w:cs="黑体"/>
          <w:color w:val="auto"/>
          <w:sz w:val="24"/>
          <w:szCs w:val="24"/>
          <w:highlight w:val="none"/>
        </w:rPr>
      </w:pPr>
      <w:bookmarkStart w:id="50" w:name="_Toc23291"/>
      <w:r>
        <w:rPr>
          <w:rFonts w:ascii="黑体" w:hAnsi="黑体" w:eastAsia="黑体" w:cs="黑体"/>
          <w:color w:val="auto"/>
          <w:spacing w:val="-3"/>
          <w:sz w:val="24"/>
          <w:szCs w:val="24"/>
          <w:highlight w:val="none"/>
        </w:rPr>
        <w:t>一、经济部分</w:t>
      </w:r>
      <w:bookmarkEnd w:id="50"/>
    </w:p>
    <w:p w14:paraId="0779910A">
      <w:pPr>
        <w:spacing w:before="73" w:line="219" w:lineRule="auto"/>
        <w:ind w:left="501"/>
        <w:outlineLvl w:val="9"/>
        <w:rPr>
          <w:rFonts w:ascii="宋体" w:hAnsi="宋体" w:eastAsia="宋体" w:cs="宋体"/>
          <w:color w:val="auto"/>
          <w:sz w:val="24"/>
          <w:szCs w:val="24"/>
          <w:highlight w:val="none"/>
        </w:rPr>
      </w:pPr>
      <w:bookmarkStart w:id="51" w:name="_Toc497"/>
      <w:r>
        <w:rPr>
          <w:rFonts w:ascii="宋体" w:hAnsi="宋体" w:eastAsia="宋体" w:cs="宋体"/>
          <w:color w:val="auto"/>
          <w:spacing w:val="-4"/>
          <w:sz w:val="24"/>
          <w:szCs w:val="24"/>
          <w:highlight w:val="none"/>
        </w:rPr>
        <w:t>（一）报价函</w:t>
      </w:r>
      <w:bookmarkEnd w:id="51"/>
    </w:p>
    <w:p w14:paraId="6399DAAA">
      <w:pPr>
        <w:spacing w:before="96" w:line="219" w:lineRule="auto"/>
        <w:ind w:left="3631"/>
        <w:outlineLvl w:val="9"/>
        <w:rPr>
          <w:rFonts w:ascii="宋体" w:hAnsi="宋体" w:eastAsia="宋体" w:cs="宋体"/>
          <w:color w:val="auto"/>
          <w:sz w:val="24"/>
          <w:szCs w:val="24"/>
          <w:highlight w:val="none"/>
        </w:rPr>
      </w:pPr>
      <w:bookmarkStart w:id="52" w:name="_Toc31358"/>
      <w:r>
        <w:rPr>
          <w:rFonts w:ascii="宋体" w:hAnsi="宋体" w:eastAsia="宋体" w:cs="宋体"/>
          <w:b/>
          <w:bCs/>
          <w:color w:val="auto"/>
          <w:spacing w:val="-3"/>
          <w:sz w:val="24"/>
          <w:szCs w:val="24"/>
          <w:highlight w:val="none"/>
        </w:rPr>
        <w:t>询价报价函（格式）</w:t>
      </w:r>
      <w:bookmarkEnd w:id="52"/>
    </w:p>
    <w:p w14:paraId="79B1C90B">
      <w:pPr>
        <w:tabs>
          <w:tab w:val="left" w:pos="136"/>
        </w:tabs>
        <w:spacing w:before="95"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6"/>
          <w:sz w:val="24"/>
          <w:szCs w:val="24"/>
          <w:highlight w:val="none"/>
          <w:u w:val="single" w:color="auto"/>
        </w:rPr>
        <w:t>（采购</w:t>
      </w:r>
      <w:r>
        <w:rPr>
          <w:rFonts w:hint="eastAsia" w:ascii="宋体" w:hAnsi="宋体" w:eastAsia="宋体" w:cs="宋体"/>
          <w:color w:val="auto"/>
          <w:spacing w:val="-16"/>
          <w:sz w:val="24"/>
          <w:szCs w:val="24"/>
          <w:highlight w:val="none"/>
          <w:u w:val="single" w:color="auto"/>
          <w:lang w:val="en-US" w:eastAsia="zh-CN"/>
        </w:rPr>
        <w:t>人</w:t>
      </w:r>
      <w:r>
        <w:rPr>
          <w:rFonts w:ascii="宋体" w:hAnsi="宋体" w:eastAsia="宋体" w:cs="宋体"/>
          <w:color w:val="auto"/>
          <w:spacing w:val="-16"/>
          <w:sz w:val="24"/>
          <w:szCs w:val="24"/>
          <w:highlight w:val="none"/>
          <w:u w:val="single" w:color="auto"/>
        </w:rPr>
        <w:t>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
          <w:sz w:val="24"/>
          <w:szCs w:val="24"/>
          <w:highlight w:val="none"/>
        </w:rPr>
        <w:t>：</w:t>
      </w:r>
    </w:p>
    <w:p w14:paraId="06036572">
      <w:pPr>
        <w:spacing w:before="93" w:line="293" w:lineRule="auto"/>
        <w:ind w:left="20" w:right="81" w:firstLine="47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我方收到____________________________（询价项目名称）</w:t>
      </w:r>
      <w:r>
        <w:rPr>
          <w:rFonts w:ascii="宋体" w:hAnsi="宋体" w:eastAsia="宋体" w:cs="宋体"/>
          <w:color w:val="auto"/>
          <w:sz w:val="24"/>
          <w:szCs w:val="24"/>
          <w:highlight w:val="none"/>
        </w:rPr>
        <w:t xml:space="preserve">的询价通知书，经详细研 </w:t>
      </w:r>
      <w:r>
        <w:rPr>
          <w:rFonts w:ascii="宋体" w:hAnsi="宋体" w:eastAsia="宋体" w:cs="宋体"/>
          <w:color w:val="auto"/>
          <w:spacing w:val="-2"/>
          <w:sz w:val="24"/>
          <w:szCs w:val="24"/>
          <w:highlight w:val="none"/>
        </w:rPr>
        <w:t>究，决定参加该项目的询价。</w:t>
      </w:r>
    </w:p>
    <w:p w14:paraId="4CFFD5F3">
      <w:pPr>
        <w:spacing w:before="2" w:line="255" w:lineRule="auto"/>
        <w:ind w:left="35" w:right="83" w:firstLine="47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1.愿意按照询价通知书中的一切要求，提供本项</w:t>
      </w:r>
      <w:r>
        <w:rPr>
          <w:rFonts w:ascii="宋体" w:hAnsi="宋体" w:eastAsia="宋体" w:cs="宋体"/>
          <w:color w:val="auto"/>
          <w:sz w:val="24"/>
          <w:szCs w:val="24"/>
          <w:highlight w:val="none"/>
        </w:rPr>
        <w:t xml:space="preserve">目的施工及技术服务，总报价为人民 </w:t>
      </w:r>
      <w:r>
        <w:rPr>
          <w:rFonts w:ascii="宋体" w:hAnsi="宋体" w:eastAsia="宋体" w:cs="宋体"/>
          <w:color w:val="auto"/>
          <w:spacing w:val="-3"/>
          <w:sz w:val="24"/>
          <w:szCs w:val="24"/>
          <w:highlight w:val="none"/>
        </w:rPr>
        <w:t>币大写：</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3"/>
          <w:sz w:val="24"/>
          <w:szCs w:val="24"/>
          <w:highlight w:val="none"/>
        </w:rPr>
        <w:t xml:space="preserve"> </w:t>
      </w:r>
      <w:r>
        <w:rPr>
          <w:rFonts w:ascii="宋体" w:hAnsi="宋体" w:eastAsia="宋体" w:cs="宋体"/>
          <w:color w:val="auto"/>
          <w:spacing w:val="-3"/>
          <w:sz w:val="24"/>
          <w:szCs w:val="24"/>
          <w:highlight w:val="none"/>
        </w:rPr>
        <w:t>元整；人民币小写：</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元。</w:t>
      </w:r>
    </w:p>
    <w:p w14:paraId="064A46D6">
      <w:pPr>
        <w:spacing w:before="9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2.我方现提交的响应文件为：响应文件正本</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1"/>
          <w:sz w:val="24"/>
          <w:szCs w:val="24"/>
          <w:highlight w:val="none"/>
        </w:rPr>
        <w:t>份，副本</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份，电子文档</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2"/>
          <w:sz w:val="24"/>
          <w:szCs w:val="24"/>
          <w:highlight w:val="none"/>
        </w:rPr>
        <w:t>份。</w:t>
      </w:r>
    </w:p>
    <w:p w14:paraId="7F0A0A27">
      <w:pPr>
        <w:spacing w:before="93" w:line="219" w:lineRule="auto"/>
        <w:ind w:left="494"/>
        <w:outlineLvl w:val="9"/>
        <w:rPr>
          <w:rFonts w:ascii="宋体" w:hAnsi="宋体" w:eastAsia="宋体" w:cs="宋体"/>
          <w:color w:val="auto"/>
          <w:sz w:val="24"/>
          <w:szCs w:val="24"/>
          <w:highlight w:val="none"/>
        </w:rPr>
      </w:pPr>
      <w:bookmarkStart w:id="53" w:name="_Toc2812"/>
      <w:r>
        <w:rPr>
          <w:rFonts w:ascii="宋体" w:hAnsi="宋体" w:eastAsia="宋体" w:cs="宋体"/>
          <w:color w:val="auto"/>
          <w:spacing w:val="1"/>
          <w:sz w:val="24"/>
          <w:szCs w:val="24"/>
          <w:highlight w:val="none"/>
        </w:rPr>
        <w:t>3.我方承诺：本次询价的有效期为90</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天。</w:t>
      </w:r>
      <w:bookmarkEnd w:id="53"/>
    </w:p>
    <w:p w14:paraId="61313F0A">
      <w:pPr>
        <w:spacing w:before="95" w:line="219" w:lineRule="auto"/>
        <w:ind w:left="488"/>
        <w:rPr>
          <w:rFonts w:ascii="宋体" w:hAnsi="宋体" w:eastAsia="宋体" w:cs="宋体"/>
          <w:color w:val="auto"/>
          <w:sz w:val="24"/>
          <w:szCs w:val="24"/>
          <w:highlight w:val="none"/>
        </w:rPr>
      </w:pPr>
      <w:r>
        <w:rPr>
          <w:rFonts w:ascii="宋体" w:hAnsi="宋体" w:eastAsia="宋体" w:cs="宋体"/>
          <w:color w:val="auto"/>
          <w:sz w:val="24"/>
          <w:szCs w:val="24"/>
          <w:highlight w:val="none"/>
        </w:rPr>
        <w:t>4.我方完全理解和接受贵方询价通知书的一切规定和</w:t>
      </w:r>
      <w:r>
        <w:rPr>
          <w:rFonts w:ascii="宋体" w:hAnsi="宋体" w:eastAsia="宋体" w:cs="宋体"/>
          <w:color w:val="auto"/>
          <w:spacing w:val="-1"/>
          <w:sz w:val="24"/>
          <w:szCs w:val="24"/>
          <w:highlight w:val="none"/>
        </w:rPr>
        <w:t>要求及询价评审办法。</w:t>
      </w:r>
    </w:p>
    <w:p w14:paraId="440C3E74">
      <w:pPr>
        <w:spacing w:before="97" w:line="255" w:lineRule="auto"/>
        <w:ind w:left="10" w:right="95"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5.在整个询价过程中，我方若有违规行为，接受按</w:t>
      </w:r>
      <w:r>
        <w:rPr>
          <w:rFonts w:ascii="宋体" w:hAnsi="宋体" w:eastAsia="宋体" w:cs="宋体"/>
          <w:color w:val="auto"/>
          <w:sz w:val="24"/>
          <w:szCs w:val="24"/>
          <w:highlight w:val="none"/>
        </w:rPr>
        <w:t xml:space="preserve">照《中华人民共和国政府采购法》 </w:t>
      </w:r>
      <w:r>
        <w:rPr>
          <w:rFonts w:ascii="宋体" w:hAnsi="宋体" w:eastAsia="宋体" w:cs="宋体"/>
          <w:color w:val="auto"/>
          <w:spacing w:val="-1"/>
          <w:sz w:val="24"/>
          <w:szCs w:val="24"/>
          <w:highlight w:val="none"/>
        </w:rPr>
        <w:t>和《询价通知书》之规定给予惩罚。</w:t>
      </w:r>
    </w:p>
    <w:p w14:paraId="4C45C42E">
      <w:pPr>
        <w:spacing w:before="97" w:line="256" w:lineRule="auto"/>
        <w:ind w:left="10" w:right="12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6.我方若成为成交供应商，将按照最终询价结果签订合同，并且严格履行合同义务。</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本承诺函将成为合同不可分割的一部分，与</w:t>
      </w:r>
      <w:r>
        <w:rPr>
          <w:rFonts w:ascii="宋体" w:hAnsi="宋体" w:eastAsia="宋体" w:cs="宋体"/>
          <w:color w:val="auto"/>
          <w:spacing w:val="-1"/>
          <w:sz w:val="24"/>
          <w:szCs w:val="24"/>
          <w:highlight w:val="none"/>
        </w:rPr>
        <w:t>合同具有同等的法律效力。</w:t>
      </w:r>
    </w:p>
    <w:p w14:paraId="696AD6AD">
      <w:pPr>
        <w:spacing w:before="94" w:line="255" w:lineRule="auto"/>
        <w:ind w:left="9" w:right="81"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7.如果我方成为成</w:t>
      </w:r>
      <w:r>
        <w:rPr>
          <w:rFonts w:ascii="宋体" w:hAnsi="宋体" w:eastAsia="宋体" w:cs="宋体"/>
          <w:color w:val="auto"/>
          <w:sz w:val="24"/>
          <w:szCs w:val="24"/>
          <w:highlight w:val="none"/>
        </w:rPr>
        <w:t>交供 应商，保证在接到成交通知书后，按照有关规定及询价通</w:t>
      </w:r>
      <w:r>
        <w:rPr>
          <w:rFonts w:ascii="宋体" w:hAnsi="宋体" w:eastAsia="宋体" w:cs="宋体"/>
          <w:color w:val="auto"/>
          <w:spacing w:val="-1"/>
          <w:sz w:val="24"/>
          <w:szCs w:val="24"/>
          <w:highlight w:val="none"/>
        </w:rPr>
        <w:t>知书要求缴纳相关费用。</w:t>
      </w:r>
    </w:p>
    <w:p w14:paraId="0BA52BBF">
      <w:pPr>
        <w:spacing w:before="97" w:line="219" w:lineRule="auto"/>
        <w:jc w:val="right"/>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8.我方未为询价采购项目提供整体设计、规范编制或者</w:t>
      </w:r>
      <w:r>
        <w:rPr>
          <w:rFonts w:ascii="宋体" w:hAnsi="宋体" w:eastAsia="宋体" w:cs="宋体"/>
          <w:color w:val="auto"/>
          <w:spacing w:val="-6"/>
          <w:sz w:val="24"/>
          <w:szCs w:val="24"/>
          <w:highlight w:val="none"/>
        </w:rPr>
        <w:t>项目管理、监理、检测等服务。</w:t>
      </w:r>
    </w:p>
    <w:p w14:paraId="0E5F2F26">
      <w:pPr>
        <w:spacing w:before="94" w:line="222" w:lineRule="auto"/>
        <w:ind w:left="581"/>
        <w:rPr>
          <w:rFonts w:ascii="宋体" w:hAnsi="宋体" w:eastAsia="宋体" w:cs="宋体"/>
          <w:color w:val="auto"/>
          <w:sz w:val="24"/>
          <w:szCs w:val="24"/>
          <w:highlight w:val="none"/>
        </w:rPr>
      </w:pPr>
      <w:r>
        <w:rPr>
          <w:rFonts w:ascii="宋体" w:hAnsi="宋体" w:eastAsia="宋体" w:cs="宋体"/>
          <w:color w:val="auto"/>
          <w:sz w:val="24"/>
          <w:szCs w:val="24"/>
          <w:highlight w:val="none"/>
        </w:rPr>
        <w:t>9.其它：</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w:t>
      </w:r>
    </w:p>
    <w:p w14:paraId="4FC95CD4">
      <w:pPr>
        <w:pStyle w:val="6"/>
        <w:spacing w:line="251" w:lineRule="auto"/>
        <w:rPr>
          <w:color w:val="auto"/>
          <w:highlight w:val="none"/>
        </w:rPr>
      </w:pPr>
    </w:p>
    <w:p w14:paraId="02119B51">
      <w:pPr>
        <w:pStyle w:val="6"/>
        <w:spacing w:line="251" w:lineRule="auto"/>
        <w:rPr>
          <w:color w:val="auto"/>
          <w:highlight w:val="none"/>
        </w:rPr>
      </w:pPr>
    </w:p>
    <w:p w14:paraId="20955A1B">
      <w:pPr>
        <w:pStyle w:val="6"/>
        <w:spacing w:line="251" w:lineRule="auto"/>
        <w:rPr>
          <w:color w:val="auto"/>
          <w:highlight w:val="none"/>
        </w:rPr>
      </w:pPr>
    </w:p>
    <w:p w14:paraId="4E950A94">
      <w:pPr>
        <w:pStyle w:val="6"/>
        <w:spacing w:line="251" w:lineRule="auto"/>
        <w:rPr>
          <w:color w:val="auto"/>
          <w:highlight w:val="none"/>
        </w:rPr>
      </w:pPr>
    </w:p>
    <w:p w14:paraId="14E263C1">
      <w:pPr>
        <w:pStyle w:val="6"/>
        <w:spacing w:line="252" w:lineRule="auto"/>
        <w:rPr>
          <w:color w:val="auto"/>
          <w:highlight w:val="none"/>
        </w:rPr>
      </w:pPr>
    </w:p>
    <w:p w14:paraId="498F8236">
      <w:pPr>
        <w:pStyle w:val="6"/>
        <w:spacing w:line="252" w:lineRule="auto"/>
        <w:rPr>
          <w:color w:val="auto"/>
          <w:highlight w:val="none"/>
        </w:rPr>
      </w:pPr>
    </w:p>
    <w:p w14:paraId="0B4BD77B">
      <w:pPr>
        <w:pStyle w:val="6"/>
        <w:spacing w:line="252" w:lineRule="auto"/>
        <w:rPr>
          <w:color w:val="auto"/>
          <w:highlight w:val="none"/>
        </w:rPr>
      </w:pPr>
    </w:p>
    <w:p w14:paraId="44353692">
      <w:pPr>
        <w:pStyle w:val="6"/>
        <w:spacing w:line="252" w:lineRule="auto"/>
        <w:rPr>
          <w:color w:val="auto"/>
          <w:highlight w:val="none"/>
        </w:rPr>
      </w:pPr>
    </w:p>
    <w:p w14:paraId="32305AFF">
      <w:pPr>
        <w:spacing w:before="79" w:line="219" w:lineRule="auto"/>
        <w:ind w:left="5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供应商（公章</w:t>
      </w:r>
      <w:r>
        <w:rPr>
          <w:rFonts w:ascii="宋体" w:hAnsi="宋体" w:eastAsia="宋体" w:cs="宋体"/>
          <w:color w:val="auto"/>
          <w:sz w:val="24"/>
          <w:szCs w:val="24"/>
          <w:highlight w:val="none"/>
        </w:rPr>
        <w:t>）：</w:t>
      </w:r>
    </w:p>
    <w:p w14:paraId="37765CAE">
      <w:pPr>
        <w:spacing w:before="94" w:line="229" w:lineRule="auto"/>
        <w:ind w:left="5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p>
    <w:p w14:paraId="4D677243">
      <w:pPr>
        <w:spacing w:before="84" w:line="222" w:lineRule="auto"/>
        <w:ind w:left="5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w:t>
      </w:r>
    </w:p>
    <w:p w14:paraId="095F2F5E">
      <w:pPr>
        <w:spacing w:before="91" w:line="222" w:lineRule="auto"/>
        <w:ind w:left="608"/>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p>
    <w:p w14:paraId="419202DA">
      <w:pPr>
        <w:pStyle w:val="6"/>
        <w:spacing w:line="391" w:lineRule="auto"/>
        <w:rPr>
          <w:color w:val="auto"/>
          <w:highlight w:val="none"/>
        </w:rPr>
      </w:pPr>
    </w:p>
    <w:p w14:paraId="2770247D">
      <w:pPr>
        <w:spacing w:before="78" w:line="220" w:lineRule="auto"/>
        <w:ind w:left="709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2DB8DEB6">
      <w:pPr>
        <w:spacing w:line="220" w:lineRule="auto"/>
        <w:rPr>
          <w:rFonts w:ascii="宋体" w:hAnsi="宋体" w:eastAsia="宋体" w:cs="宋体"/>
          <w:color w:val="auto"/>
          <w:sz w:val="24"/>
          <w:szCs w:val="24"/>
          <w:highlight w:val="none"/>
        </w:rPr>
        <w:sectPr>
          <w:footerReference r:id="rId18" w:type="default"/>
          <w:pgSz w:w="11907" w:h="16840"/>
          <w:pgMar w:top="1178" w:right="1109" w:bottom="1221" w:left="1303" w:header="0" w:footer="853" w:gutter="0"/>
          <w:pgNumType w:fmt="decimal"/>
          <w:cols w:space="720" w:num="1"/>
        </w:sectPr>
      </w:pPr>
    </w:p>
    <w:p w14:paraId="32BBAF2A">
      <w:pPr>
        <w:spacing w:before="56" w:line="222" w:lineRule="auto"/>
        <w:ind w:left="474"/>
        <w:outlineLvl w:val="9"/>
        <w:rPr>
          <w:rFonts w:ascii="宋体" w:hAnsi="宋体" w:eastAsia="宋体" w:cs="宋体"/>
          <w:color w:val="auto"/>
          <w:sz w:val="24"/>
          <w:szCs w:val="24"/>
          <w:highlight w:val="none"/>
        </w:rPr>
      </w:pPr>
      <w:bookmarkStart w:id="54" w:name="_Toc25536"/>
      <w:r>
        <w:rPr>
          <w:rFonts w:ascii="宋体" w:hAnsi="宋体" w:eastAsia="宋体" w:cs="宋体"/>
          <w:color w:val="auto"/>
          <w:spacing w:val="-3"/>
          <w:sz w:val="28"/>
          <w:szCs w:val="28"/>
          <w:highlight w:val="none"/>
        </w:rPr>
        <w:t>（二）</w:t>
      </w:r>
      <w:r>
        <w:rPr>
          <w:rFonts w:ascii="宋体" w:hAnsi="宋体" w:eastAsia="宋体" w:cs="宋体"/>
          <w:color w:val="auto"/>
          <w:spacing w:val="-3"/>
          <w:sz w:val="24"/>
          <w:szCs w:val="24"/>
          <w:highlight w:val="none"/>
        </w:rPr>
        <w:t>明细报价表</w:t>
      </w:r>
      <w:bookmarkEnd w:id="54"/>
    </w:p>
    <w:p w14:paraId="0969CB1B">
      <w:pPr>
        <w:spacing w:before="77" w:line="217" w:lineRule="auto"/>
        <w:jc w:val="center"/>
        <w:outlineLvl w:val="9"/>
        <w:rPr>
          <w:rFonts w:ascii="宋体" w:hAnsi="宋体" w:eastAsia="宋体" w:cs="宋体"/>
          <w:color w:val="auto"/>
          <w:sz w:val="24"/>
          <w:szCs w:val="24"/>
          <w:highlight w:val="none"/>
        </w:rPr>
      </w:pPr>
      <w:bookmarkStart w:id="55" w:name="_Toc4270"/>
      <w:r>
        <w:rPr>
          <w:rFonts w:hint="eastAsia" w:ascii="宋体" w:hAnsi="宋体" w:eastAsia="宋体" w:cs="宋体"/>
          <w:color w:val="auto"/>
          <w:spacing w:val="-1"/>
          <w:sz w:val="24"/>
          <w:szCs w:val="24"/>
          <w:highlight w:val="none"/>
          <w:lang w:val="en-US" w:eastAsia="zh-CN"/>
        </w:rPr>
        <w:t>原</w:t>
      </w:r>
      <w:r>
        <w:rPr>
          <w:rFonts w:hint="eastAsia" w:ascii="宋体" w:hAnsi="宋体" w:eastAsia="宋体" w:cs="宋体"/>
          <w:color w:val="auto"/>
          <w:spacing w:val="-1"/>
          <w:sz w:val="24"/>
          <w:szCs w:val="24"/>
          <w:highlight w:val="none"/>
          <w:lang w:eastAsia="zh-CN"/>
        </w:rPr>
        <w:t>重庆汽车工程技术学院建设工程一期（6-12#、13#楼）</w:t>
      </w:r>
      <w:r>
        <w:rPr>
          <w:rFonts w:hint="eastAsia" w:ascii="宋体" w:hAnsi="宋体" w:eastAsia="宋体" w:cs="宋体"/>
          <w:color w:val="auto"/>
          <w:spacing w:val="-1"/>
          <w:sz w:val="24"/>
          <w:szCs w:val="24"/>
          <w:highlight w:val="none"/>
          <w:lang w:val="en-US" w:eastAsia="zh-CN"/>
        </w:rPr>
        <w:t>房屋测绘</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第三次</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清单报价表</w:t>
      </w:r>
      <w:bookmarkEnd w:id="55"/>
    </w:p>
    <w:tbl>
      <w:tblPr>
        <w:tblStyle w:val="12"/>
        <w:tblW w:w="9372"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2"/>
        <w:gridCol w:w="756"/>
        <w:gridCol w:w="780"/>
        <w:gridCol w:w="1344"/>
        <w:gridCol w:w="1464"/>
        <w:gridCol w:w="1236"/>
      </w:tblGrid>
      <w:tr w14:paraId="1EA1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792" w:type="dxa"/>
            <w:vAlign w:val="center"/>
          </w:tcPr>
          <w:p w14:paraId="2E5E7FE5">
            <w:pPr>
              <w:pStyle w:val="13"/>
              <w:spacing w:before="127" w:line="220" w:lineRule="auto"/>
              <w:jc w:val="center"/>
              <w:outlineLvl w:val="0"/>
              <w:rPr>
                <w:color w:val="auto"/>
                <w:highlight w:val="none"/>
              </w:rPr>
            </w:pPr>
            <w:r>
              <w:rPr>
                <w:b/>
                <w:bCs/>
                <w:color w:val="auto"/>
                <w:spacing w:val="-6"/>
                <w:highlight w:val="none"/>
              </w:rPr>
              <w:t>项目名称</w:t>
            </w:r>
          </w:p>
        </w:tc>
        <w:tc>
          <w:tcPr>
            <w:tcW w:w="756" w:type="dxa"/>
            <w:vAlign w:val="center"/>
          </w:tcPr>
          <w:p w14:paraId="7AC721DB">
            <w:pPr>
              <w:pStyle w:val="13"/>
              <w:spacing w:before="128" w:line="219" w:lineRule="auto"/>
              <w:jc w:val="center"/>
              <w:outlineLvl w:val="0"/>
              <w:rPr>
                <w:color w:val="auto"/>
                <w:highlight w:val="none"/>
              </w:rPr>
            </w:pPr>
            <w:r>
              <w:rPr>
                <w:b/>
                <w:bCs/>
                <w:color w:val="auto"/>
                <w:spacing w:val="-5"/>
                <w:highlight w:val="none"/>
              </w:rPr>
              <w:t>单位</w:t>
            </w:r>
          </w:p>
        </w:tc>
        <w:tc>
          <w:tcPr>
            <w:tcW w:w="780" w:type="dxa"/>
            <w:vAlign w:val="center"/>
          </w:tcPr>
          <w:p w14:paraId="5E6EBEB2">
            <w:pPr>
              <w:pStyle w:val="13"/>
              <w:spacing w:before="127" w:line="221" w:lineRule="auto"/>
              <w:jc w:val="center"/>
              <w:outlineLvl w:val="0"/>
              <w:rPr>
                <w:b/>
                <w:bCs/>
                <w:color w:val="auto"/>
                <w:spacing w:val="-9"/>
                <w:highlight w:val="none"/>
              </w:rPr>
            </w:pPr>
            <w:r>
              <w:rPr>
                <w:b/>
                <w:bCs/>
                <w:color w:val="auto"/>
                <w:spacing w:val="-5"/>
                <w:highlight w:val="none"/>
              </w:rPr>
              <w:t>数量</w:t>
            </w:r>
          </w:p>
        </w:tc>
        <w:tc>
          <w:tcPr>
            <w:tcW w:w="1344" w:type="dxa"/>
            <w:vAlign w:val="center"/>
          </w:tcPr>
          <w:p w14:paraId="2C98CDB7">
            <w:pPr>
              <w:pStyle w:val="13"/>
              <w:spacing w:before="127" w:line="221" w:lineRule="auto"/>
              <w:jc w:val="center"/>
              <w:outlineLvl w:val="0"/>
              <w:rPr>
                <w:rFonts w:hint="eastAsia" w:eastAsia="宋体"/>
                <w:b/>
                <w:bCs/>
                <w:color w:val="auto"/>
                <w:spacing w:val="-9"/>
                <w:highlight w:val="none"/>
                <w:lang w:val="en-US" w:eastAsia="zh-CN"/>
              </w:rPr>
            </w:pPr>
            <w:r>
              <w:rPr>
                <w:rFonts w:hint="eastAsia"/>
                <w:b/>
                <w:bCs/>
                <w:color w:val="auto"/>
                <w:spacing w:val="-9"/>
                <w:highlight w:val="none"/>
                <w:lang w:val="en-US" w:eastAsia="zh-CN"/>
              </w:rPr>
              <w:t>单价（元）</w:t>
            </w:r>
          </w:p>
        </w:tc>
        <w:tc>
          <w:tcPr>
            <w:tcW w:w="1464" w:type="dxa"/>
            <w:vAlign w:val="center"/>
          </w:tcPr>
          <w:p w14:paraId="5DB5F267">
            <w:pPr>
              <w:pStyle w:val="13"/>
              <w:spacing w:before="127" w:line="221" w:lineRule="auto"/>
              <w:jc w:val="center"/>
              <w:outlineLvl w:val="0"/>
              <w:rPr>
                <w:rFonts w:hint="default" w:eastAsia="宋体"/>
                <w:b/>
                <w:bCs/>
                <w:color w:val="auto"/>
                <w:spacing w:val="-9"/>
                <w:highlight w:val="none"/>
                <w:lang w:val="en-US" w:eastAsia="zh-CN"/>
              </w:rPr>
            </w:pPr>
            <w:r>
              <w:rPr>
                <w:rFonts w:hint="eastAsia"/>
                <w:b/>
                <w:bCs/>
                <w:color w:val="auto"/>
                <w:spacing w:val="-9"/>
                <w:highlight w:val="none"/>
                <w:lang w:val="en-US" w:eastAsia="zh-CN"/>
              </w:rPr>
              <w:t>合价（元）</w:t>
            </w:r>
          </w:p>
        </w:tc>
        <w:tc>
          <w:tcPr>
            <w:tcW w:w="1236" w:type="dxa"/>
            <w:vAlign w:val="center"/>
          </w:tcPr>
          <w:p w14:paraId="712302C4">
            <w:pPr>
              <w:spacing w:before="69" w:line="188" w:lineRule="auto"/>
              <w:jc w:val="center"/>
              <w:rPr>
                <w:rFonts w:ascii="Times New Roman" w:hAnsi="Times New Roman" w:eastAsia="Times New Roman" w:cs="Times New Roman"/>
                <w:b/>
                <w:bCs/>
                <w:color w:val="auto"/>
                <w:spacing w:val="-10"/>
                <w:highlight w:val="none"/>
              </w:rPr>
            </w:pPr>
            <w:r>
              <w:rPr>
                <w:rFonts w:ascii="Times New Roman" w:hAnsi="Times New Roman" w:eastAsia="Times New Roman" w:cs="Times New Roman"/>
                <w:b/>
                <w:bCs/>
                <w:color w:val="auto"/>
                <w:spacing w:val="-10"/>
                <w:highlight w:val="none"/>
              </w:rPr>
              <w:t>备注</w:t>
            </w:r>
          </w:p>
        </w:tc>
      </w:tr>
      <w:tr w14:paraId="7D0D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792" w:type="dxa"/>
            <w:vAlign w:val="top"/>
          </w:tcPr>
          <w:p w14:paraId="12E2CAB5">
            <w:pPr>
              <w:spacing w:before="69" w:line="188" w:lineRule="auto"/>
              <w:jc w:val="center"/>
              <w:rPr>
                <w:rFonts w:hint="eastAsia" w:ascii="Times New Roman" w:hAnsi="Times New Roman" w:eastAsia="Times New Roman" w:cs="Times New Roman"/>
                <w:b/>
                <w:bCs/>
                <w:color w:val="auto"/>
                <w:spacing w:val="-10"/>
                <w:highlight w:val="none"/>
                <w:lang w:eastAsia="zh-CN"/>
              </w:rPr>
            </w:pPr>
            <w:r>
              <w:rPr>
                <w:rFonts w:hint="eastAsia" w:ascii="Times New Roman" w:hAnsi="Times New Roman" w:eastAsia="Times New Roman" w:cs="Times New Roman"/>
                <w:b/>
                <w:bCs/>
                <w:color w:val="auto"/>
                <w:spacing w:val="-10"/>
                <w:highlight w:val="none"/>
                <w:lang w:eastAsia="zh-CN"/>
              </w:rPr>
              <w:t>重庆汽车工程技术学院建设工程一期</w:t>
            </w:r>
          </w:p>
          <w:p w14:paraId="56E701FA">
            <w:pPr>
              <w:spacing w:before="69" w:line="188" w:lineRule="auto"/>
              <w:jc w:val="center"/>
              <w:rPr>
                <w:rFonts w:ascii="Times New Roman" w:hAnsi="Times New Roman" w:eastAsia="Times New Roman" w:cs="Times New Roman"/>
                <w:b/>
                <w:bCs/>
                <w:color w:val="auto"/>
                <w:spacing w:val="-10"/>
                <w:highlight w:val="none"/>
              </w:rPr>
            </w:pPr>
            <w:r>
              <w:rPr>
                <w:rFonts w:hint="eastAsia" w:ascii="Times New Roman" w:hAnsi="Times New Roman" w:eastAsia="Times New Roman" w:cs="Times New Roman"/>
                <w:b/>
                <w:bCs/>
                <w:color w:val="auto"/>
                <w:spacing w:val="-10"/>
                <w:highlight w:val="none"/>
                <w:lang w:eastAsia="zh-CN"/>
              </w:rPr>
              <w:t>（6-12#、13#楼）</w:t>
            </w:r>
            <w:r>
              <w:rPr>
                <w:rFonts w:hint="eastAsia" w:ascii="Times New Roman" w:hAnsi="Times New Roman" w:eastAsia="Times New Roman" w:cs="Times New Roman"/>
                <w:b/>
                <w:bCs/>
                <w:color w:val="auto"/>
                <w:spacing w:val="-10"/>
                <w:highlight w:val="none"/>
                <w:lang w:val="en-US" w:eastAsia="zh-CN"/>
              </w:rPr>
              <w:t>房屋测绘（第三次）</w:t>
            </w:r>
          </w:p>
        </w:tc>
        <w:tc>
          <w:tcPr>
            <w:tcW w:w="756" w:type="dxa"/>
            <w:vAlign w:val="center"/>
          </w:tcPr>
          <w:p w14:paraId="5F72C6B0">
            <w:pPr>
              <w:spacing w:before="69" w:line="188" w:lineRule="auto"/>
              <w:jc w:val="center"/>
              <w:rPr>
                <w:rFonts w:ascii="Times New Roman" w:hAnsi="Times New Roman" w:eastAsia="Times New Roman" w:cs="Times New Roman"/>
                <w:b/>
                <w:bCs/>
                <w:color w:val="auto"/>
                <w:spacing w:val="-10"/>
                <w:highlight w:val="none"/>
              </w:rPr>
            </w:pPr>
            <w:r>
              <w:rPr>
                <w:rFonts w:ascii="Times New Roman" w:hAnsi="Times New Roman" w:eastAsia="Times New Roman" w:cs="Times New Roman"/>
                <w:b/>
                <w:bCs/>
                <w:color w:val="auto"/>
                <w:spacing w:val="-10"/>
                <w:highlight w:val="none"/>
              </w:rPr>
              <w:t>项</w:t>
            </w:r>
          </w:p>
        </w:tc>
        <w:tc>
          <w:tcPr>
            <w:tcW w:w="780" w:type="dxa"/>
            <w:vAlign w:val="center"/>
          </w:tcPr>
          <w:p w14:paraId="67F7B5E9">
            <w:pPr>
              <w:spacing w:before="69" w:line="188"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pacing w:val="-10"/>
                <w:highlight w:val="none"/>
              </w:rPr>
              <w:t>1</w:t>
            </w:r>
          </w:p>
        </w:tc>
        <w:tc>
          <w:tcPr>
            <w:tcW w:w="1344" w:type="dxa"/>
            <w:vAlign w:val="center"/>
          </w:tcPr>
          <w:p w14:paraId="641AEE20">
            <w:pPr>
              <w:spacing w:before="69" w:line="188" w:lineRule="auto"/>
              <w:jc w:val="center"/>
              <w:rPr>
                <w:rFonts w:ascii="Times New Roman" w:hAnsi="Times New Roman" w:eastAsia="Times New Roman" w:cs="Times New Roman"/>
                <w:b/>
                <w:bCs/>
                <w:color w:val="auto"/>
                <w:spacing w:val="-10"/>
                <w:highlight w:val="none"/>
              </w:rPr>
            </w:pPr>
          </w:p>
        </w:tc>
        <w:tc>
          <w:tcPr>
            <w:tcW w:w="1464" w:type="dxa"/>
            <w:vAlign w:val="center"/>
          </w:tcPr>
          <w:p w14:paraId="1775C084">
            <w:pPr>
              <w:spacing w:before="69" w:line="188" w:lineRule="auto"/>
              <w:jc w:val="center"/>
              <w:rPr>
                <w:rFonts w:ascii="Times New Roman" w:hAnsi="Times New Roman" w:eastAsia="Times New Roman" w:cs="Times New Roman"/>
                <w:b/>
                <w:bCs/>
                <w:color w:val="auto"/>
                <w:spacing w:val="-10"/>
                <w:highlight w:val="none"/>
              </w:rPr>
            </w:pPr>
          </w:p>
        </w:tc>
        <w:tc>
          <w:tcPr>
            <w:tcW w:w="1236" w:type="dxa"/>
            <w:vAlign w:val="center"/>
          </w:tcPr>
          <w:p w14:paraId="66EC16C0">
            <w:pPr>
              <w:spacing w:before="69" w:line="188" w:lineRule="auto"/>
              <w:jc w:val="center"/>
              <w:rPr>
                <w:rFonts w:ascii="Times New Roman" w:hAnsi="Times New Roman" w:eastAsia="Times New Roman" w:cs="Times New Roman"/>
                <w:b/>
                <w:bCs/>
                <w:color w:val="auto"/>
                <w:spacing w:val="-10"/>
                <w:highlight w:val="none"/>
              </w:rPr>
            </w:pPr>
            <w:r>
              <w:rPr>
                <w:rFonts w:ascii="Times New Roman" w:hAnsi="Times New Roman" w:eastAsia="Times New Roman" w:cs="Times New Roman"/>
                <w:b/>
                <w:bCs/>
                <w:color w:val="auto"/>
                <w:spacing w:val="-10"/>
                <w:highlight w:val="none"/>
              </w:rPr>
              <w:t>/</w:t>
            </w:r>
          </w:p>
        </w:tc>
      </w:tr>
    </w:tbl>
    <w:p w14:paraId="203A4220">
      <w:pPr>
        <w:rPr>
          <w:color w:val="auto"/>
          <w:highlight w:val="none"/>
        </w:rPr>
      </w:pPr>
    </w:p>
    <w:p w14:paraId="11F7C2A5">
      <w:pPr>
        <w:rPr>
          <w:color w:val="auto"/>
          <w:highlight w:val="none"/>
        </w:rPr>
      </w:pPr>
    </w:p>
    <w:p w14:paraId="1D7BC70B">
      <w:pPr>
        <w:rPr>
          <w:color w:val="auto"/>
          <w:highlight w:val="none"/>
        </w:rPr>
      </w:pPr>
    </w:p>
    <w:p w14:paraId="6F6782E7">
      <w:pPr>
        <w:rPr>
          <w:color w:val="auto"/>
          <w:highlight w:val="none"/>
        </w:rPr>
      </w:pPr>
    </w:p>
    <w:p w14:paraId="02587CD6">
      <w:pPr>
        <w:rPr>
          <w:color w:val="auto"/>
          <w:highlight w:val="none"/>
        </w:rPr>
      </w:pPr>
    </w:p>
    <w:p w14:paraId="03E60813">
      <w:pPr>
        <w:rPr>
          <w:color w:val="auto"/>
          <w:highlight w:val="none"/>
        </w:rPr>
      </w:pPr>
    </w:p>
    <w:p w14:paraId="35C98898">
      <w:pPr>
        <w:rPr>
          <w:color w:val="auto"/>
          <w:highlight w:val="none"/>
        </w:rPr>
      </w:pPr>
    </w:p>
    <w:p w14:paraId="2A2318B2">
      <w:pPr>
        <w:spacing w:before="98" w:line="219" w:lineRule="auto"/>
        <w:ind w:left="6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供应商：                              </w:t>
      </w:r>
      <w:r>
        <w:rPr>
          <w:rFonts w:ascii="宋体" w:hAnsi="宋体" w:eastAsia="宋体" w:cs="宋体"/>
          <w:color w:val="auto"/>
          <w:spacing w:val="-1"/>
          <w:sz w:val="24"/>
          <w:szCs w:val="24"/>
          <w:highlight w:val="none"/>
        </w:rPr>
        <w:t xml:space="preserve"> 法定代表人授权代表：</w:t>
      </w:r>
    </w:p>
    <w:p w14:paraId="21B1D0BC">
      <w:pPr>
        <w:pStyle w:val="6"/>
        <w:spacing w:line="395" w:lineRule="auto"/>
        <w:rPr>
          <w:color w:val="auto"/>
          <w:highlight w:val="none"/>
        </w:rPr>
      </w:pPr>
    </w:p>
    <w:p w14:paraId="3232FF47">
      <w:pPr>
        <w:spacing w:before="79" w:line="219"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（供应商公章</w:t>
      </w:r>
      <w:r>
        <w:rPr>
          <w:rFonts w:ascii="宋体" w:hAnsi="宋体" w:eastAsia="宋体" w:cs="宋体"/>
          <w:color w:val="auto"/>
          <w:spacing w:val="-17"/>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签字或盖章）</w:t>
      </w:r>
    </w:p>
    <w:p w14:paraId="7270EC7C">
      <w:pPr>
        <w:spacing w:before="94" w:line="220" w:lineRule="auto"/>
        <w:ind w:left="585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p w14:paraId="706D6651">
      <w:pPr>
        <w:rPr>
          <w:color w:val="auto"/>
          <w:highlight w:val="none"/>
        </w:rPr>
      </w:pPr>
    </w:p>
    <w:p w14:paraId="40A5A22E">
      <w:pPr>
        <w:rPr>
          <w:color w:val="auto"/>
          <w:highlight w:val="none"/>
        </w:rPr>
      </w:pPr>
    </w:p>
    <w:p w14:paraId="3ED090BC">
      <w:pPr>
        <w:rPr>
          <w:color w:val="auto"/>
          <w:highlight w:val="none"/>
        </w:rPr>
      </w:pPr>
    </w:p>
    <w:p w14:paraId="5FBA8E27">
      <w:pPr>
        <w:rPr>
          <w:color w:val="auto"/>
          <w:highlight w:val="none"/>
        </w:rPr>
      </w:pPr>
    </w:p>
    <w:p w14:paraId="2108E7D7">
      <w:pPr>
        <w:rPr>
          <w:color w:val="auto"/>
          <w:highlight w:val="none"/>
        </w:rPr>
      </w:pPr>
    </w:p>
    <w:p w14:paraId="7785E391">
      <w:pPr>
        <w:rPr>
          <w:color w:val="auto"/>
          <w:highlight w:val="none"/>
        </w:rPr>
      </w:pPr>
    </w:p>
    <w:p w14:paraId="5D9E3884">
      <w:pPr>
        <w:rPr>
          <w:color w:val="auto"/>
          <w:highlight w:val="none"/>
        </w:rPr>
      </w:pPr>
    </w:p>
    <w:p w14:paraId="6F55E766">
      <w:pPr>
        <w:rPr>
          <w:color w:val="auto"/>
          <w:highlight w:val="none"/>
        </w:rPr>
      </w:pPr>
    </w:p>
    <w:p w14:paraId="02772D68">
      <w:pPr>
        <w:rPr>
          <w:color w:val="auto"/>
          <w:highlight w:val="none"/>
        </w:rPr>
      </w:pPr>
    </w:p>
    <w:p w14:paraId="47D6578F">
      <w:pPr>
        <w:rPr>
          <w:color w:val="auto"/>
          <w:highlight w:val="none"/>
        </w:rPr>
      </w:pPr>
    </w:p>
    <w:p w14:paraId="3C03C6F7">
      <w:pPr>
        <w:rPr>
          <w:color w:val="auto"/>
          <w:highlight w:val="none"/>
        </w:rPr>
      </w:pPr>
    </w:p>
    <w:p w14:paraId="122ED1F6">
      <w:pPr>
        <w:rPr>
          <w:color w:val="auto"/>
          <w:highlight w:val="none"/>
        </w:rPr>
      </w:pPr>
    </w:p>
    <w:p w14:paraId="0C41A566">
      <w:pPr>
        <w:rPr>
          <w:color w:val="auto"/>
          <w:highlight w:val="none"/>
        </w:rPr>
      </w:pPr>
    </w:p>
    <w:p w14:paraId="175E2368">
      <w:pPr>
        <w:rPr>
          <w:color w:val="auto"/>
          <w:highlight w:val="none"/>
        </w:rPr>
      </w:pPr>
    </w:p>
    <w:p w14:paraId="683CA64D">
      <w:pPr>
        <w:rPr>
          <w:color w:val="auto"/>
          <w:highlight w:val="none"/>
        </w:rPr>
      </w:pPr>
    </w:p>
    <w:p w14:paraId="5B9B6BFF">
      <w:pPr>
        <w:rPr>
          <w:color w:val="auto"/>
          <w:highlight w:val="none"/>
        </w:rPr>
      </w:pPr>
    </w:p>
    <w:p w14:paraId="405FF5EE">
      <w:pPr>
        <w:rPr>
          <w:color w:val="auto"/>
          <w:highlight w:val="none"/>
        </w:rPr>
      </w:pPr>
    </w:p>
    <w:p w14:paraId="6CF1FED8">
      <w:pPr>
        <w:rPr>
          <w:color w:val="auto"/>
          <w:highlight w:val="none"/>
        </w:rPr>
      </w:pPr>
    </w:p>
    <w:p w14:paraId="2A652742">
      <w:pPr>
        <w:rPr>
          <w:color w:val="auto"/>
          <w:highlight w:val="none"/>
        </w:rPr>
      </w:pPr>
    </w:p>
    <w:p w14:paraId="781A4C7D">
      <w:pPr>
        <w:rPr>
          <w:color w:val="auto"/>
          <w:highlight w:val="none"/>
        </w:rPr>
      </w:pPr>
    </w:p>
    <w:p w14:paraId="69C5DB77">
      <w:pPr>
        <w:rPr>
          <w:color w:val="auto"/>
          <w:highlight w:val="none"/>
        </w:rPr>
      </w:pPr>
    </w:p>
    <w:p w14:paraId="200B4223">
      <w:pPr>
        <w:rPr>
          <w:color w:val="auto"/>
          <w:highlight w:val="none"/>
        </w:rPr>
      </w:pPr>
    </w:p>
    <w:p w14:paraId="5E6D404B">
      <w:pPr>
        <w:rPr>
          <w:color w:val="auto"/>
          <w:highlight w:val="none"/>
        </w:rPr>
      </w:pPr>
    </w:p>
    <w:p w14:paraId="30189606">
      <w:pPr>
        <w:rPr>
          <w:color w:val="auto"/>
          <w:highlight w:val="none"/>
        </w:rPr>
      </w:pPr>
    </w:p>
    <w:p w14:paraId="38F8DA05">
      <w:pPr>
        <w:rPr>
          <w:color w:val="auto"/>
          <w:highlight w:val="none"/>
        </w:rPr>
      </w:pPr>
    </w:p>
    <w:p w14:paraId="4D0A5AF2">
      <w:pPr>
        <w:rPr>
          <w:color w:val="auto"/>
          <w:highlight w:val="none"/>
        </w:rPr>
      </w:pPr>
    </w:p>
    <w:p w14:paraId="000D7628">
      <w:pPr>
        <w:rPr>
          <w:color w:val="auto"/>
          <w:highlight w:val="none"/>
        </w:rPr>
      </w:pPr>
    </w:p>
    <w:p w14:paraId="6D05DD2B">
      <w:pPr>
        <w:rPr>
          <w:color w:val="auto"/>
          <w:highlight w:val="none"/>
        </w:rPr>
      </w:pPr>
    </w:p>
    <w:p w14:paraId="0348CA7C">
      <w:pPr>
        <w:rPr>
          <w:color w:val="auto"/>
          <w:highlight w:val="none"/>
        </w:rPr>
      </w:pPr>
    </w:p>
    <w:p w14:paraId="6D09C32D">
      <w:pPr>
        <w:rPr>
          <w:color w:val="auto"/>
          <w:highlight w:val="none"/>
        </w:rPr>
      </w:pPr>
    </w:p>
    <w:p w14:paraId="402F25EA">
      <w:pPr>
        <w:rPr>
          <w:color w:val="auto"/>
          <w:highlight w:val="none"/>
        </w:rPr>
      </w:pPr>
    </w:p>
    <w:p w14:paraId="414E4571">
      <w:pPr>
        <w:rPr>
          <w:color w:val="auto"/>
          <w:highlight w:val="none"/>
        </w:rPr>
      </w:pPr>
    </w:p>
    <w:p w14:paraId="60889070">
      <w:pPr>
        <w:rPr>
          <w:color w:val="auto"/>
          <w:highlight w:val="none"/>
        </w:rPr>
      </w:pPr>
    </w:p>
    <w:p w14:paraId="54442EE3">
      <w:pPr>
        <w:rPr>
          <w:color w:val="auto"/>
          <w:highlight w:val="none"/>
        </w:rPr>
      </w:pPr>
    </w:p>
    <w:p w14:paraId="7123C4D5">
      <w:pPr>
        <w:rPr>
          <w:color w:val="auto"/>
          <w:highlight w:val="none"/>
        </w:rPr>
      </w:pPr>
    </w:p>
    <w:p w14:paraId="63AFD74F">
      <w:pPr>
        <w:rPr>
          <w:color w:val="auto"/>
          <w:highlight w:val="none"/>
        </w:rPr>
      </w:pPr>
    </w:p>
    <w:p w14:paraId="02744D3B">
      <w:pPr>
        <w:rPr>
          <w:color w:val="auto"/>
          <w:highlight w:val="none"/>
        </w:rPr>
      </w:pPr>
    </w:p>
    <w:p w14:paraId="580AF88F">
      <w:pPr>
        <w:rPr>
          <w:color w:val="auto"/>
          <w:highlight w:val="none"/>
        </w:rPr>
      </w:pPr>
    </w:p>
    <w:p w14:paraId="57CA9DA8">
      <w:pPr>
        <w:spacing w:before="54" w:line="242" w:lineRule="auto"/>
        <w:ind w:firstLine="468" w:firstLineChars="200"/>
        <w:outlineLvl w:val="1"/>
        <w:rPr>
          <w:rFonts w:ascii="黑体" w:hAnsi="黑体" w:eastAsia="黑体" w:cs="黑体"/>
          <w:color w:val="auto"/>
          <w:sz w:val="24"/>
          <w:szCs w:val="24"/>
          <w:highlight w:val="none"/>
        </w:rPr>
      </w:pPr>
      <w:bookmarkStart w:id="56" w:name="bookmark36"/>
      <w:bookmarkEnd w:id="56"/>
      <w:bookmarkStart w:id="57" w:name="_Toc8807"/>
      <w:r>
        <w:rPr>
          <w:rFonts w:ascii="黑体" w:hAnsi="黑体" w:eastAsia="黑体" w:cs="黑体"/>
          <w:color w:val="auto"/>
          <w:spacing w:val="-3"/>
          <w:sz w:val="24"/>
          <w:szCs w:val="24"/>
          <w:highlight w:val="none"/>
        </w:rPr>
        <w:t>二、技术部分</w:t>
      </w:r>
      <w:bookmarkEnd w:id="57"/>
    </w:p>
    <w:p w14:paraId="48E2A47A">
      <w:pPr>
        <w:spacing w:before="73" w:line="220" w:lineRule="auto"/>
        <w:ind w:left="3863"/>
        <w:outlineLvl w:val="9"/>
        <w:rPr>
          <w:rFonts w:ascii="宋体" w:hAnsi="宋体" w:eastAsia="宋体" w:cs="宋体"/>
          <w:color w:val="auto"/>
          <w:sz w:val="24"/>
          <w:szCs w:val="24"/>
          <w:highlight w:val="none"/>
        </w:rPr>
      </w:pPr>
      <w:bookmarkStart w:id="58" w:name="_Toc10530"/>
      <w:r>
        <w:rPr>
          <w:rFonts w:ascii="宋体" w:hAnsi="宋体" w:eastAsia="宋体" w:cs="宋体"/>
          <w:b/>
          <w:bCs/>
          <w:color w:val="auto"/>
          <w:spacing w:val="-4"/>
          <w:sz w:val="24"/>
          <w:szCs w:val="24"/>
          <w:highlight w:val="none"/>
        </w:rPr>
        <w:t>技术响应偏离表</w:t>
      </w:r>
      <w:bookmarkEnd w:id="58"/>
    </w:p>
    <w:p w14:paraId="0F635712">
      <w:pPr>
        <w:spacing w:before="94" w:line="216" w:lineRule="auto"/>
        <w:ind w:left="364"/>
        <w:outlineLvl w:val="9"/>
        <w:rPr>
          <w:rFonts w:ascii="宋体" w:hAnsi="宋体" w:eastAsia="宋体" w:cs="宋体"/>
          <w:color w:val="auto"/>
          <w:sz w:val="24"/>
          <w:szCs w:val="24"/>
          <w:highlight w:val="none"/>
        </w:rPr>
      </w:pPr>
      <w:bookmarkStart w:id="59" w:name="_Toc4328"/>
      <w:r>
        <w:rPr>
          <w:rFonts w:ascii="宋体" w:hAnsi="宋体" w:eastAsia="宋体" w:cs="宋体"/>
          <w:color w:val="auto"/>
          <w:spacing w:val="-3"/>
          <w:sz w:val="24"/>
          <w:szCs w:val="24"/>
          <w:highlight w:val="none"/>
        </w:rPr>
        <w:t>项目名称：</w:t>
      </w:r>
      <w:bookmarkEnd w:id="59"/>
    </w:p>
    <w:tbl>
      <w:tblPr>
        <w:tblStyle w:val="12"/>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3C87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1DCC98BA">
            <w:pPr>
              <w:pStyle w:val="13"/>
              <w:spacing w:before="170" w:line="222" w:lineRule="auto"/>
              <w:ind w:left="179"/>
              <w:outlineLvl w:val="0"/>
              <w:rPr>
                <w:color w:val="auto"/>
                <w:sz w:val="24"/>
                <w:szCs w:val="24"/>
                <w:highlight w:val="none"/>
              </w:rPr>
            </w:pPr>
            <w:bookmarkStart w:id="60" w:name="_Toc5792"/>
            <w:r>
              <w:rPr>
                <w:color w:val="auto"/>
                <w:spacing w:val="-5"/>
                <w:sz w:val="24"/>
                <w:szCs w:val="24"/>
                <w:highlight w:val="none"/>
              </w:rPr>
              <w:t>序号</w:t>
            </w:r>
            <w:bookmarkEnd w:id="60"/>
          </w:p>
        </w:tc>
        <w:tc>
          <w:tcPr>
            <w:tcW w:w="3346" w:type="dxa"/>
            <w:vAlign w:val="top"/>
          </w:tcPr>
          <w:p w14:paraId="503453C2">
            <w:pPr>
              <w:pStyle w:val="13"/>
              <w:spacing w:before="170" w:line="220" w:lineRule="auto"/>
              <w:ind w:left="963"/>
              <w:outlineLvl w:val="0"/>
              <w:rPr>
                <w:color w:val="auto"/>
                <w:sz w:val="24"/>
                <w:szCs w:val="24"/>
                <w:highlight w:val="none"/>
              </w:rPr>
            </w:pPr>
            <w:bookmarkStart w:id="61" w:name="_Toc31627"/>
            <w:r>
              <w:rPr>
                <w:color w:val="auto"/>
                <w:spacing w:val="-3"/>
                <w:sz w:val="24"/>
                <w:szCs w:val="24"/>
                <w:highlight w:val="none"/>
              </w:rPr>
              <w:t>项目技术需求</w:t>
            </w:r>
            <w:bookmarkEnd w:id="61"/>
          </w:p>
        </w:tc>
        <w:tc>
          <w:tcPr>
            <w:tcW w:w="2757" w:type="dxa"/>
            <w:vAlign w:val="top"/>
          </w:tcPr>
          <w:p w14:paraId="7D2B03D8">
            <w:pPr>
              <w:pStyle w:val="13"/>
              <w:spacing w:before="170" w:line="221" w:lineRule="auto"/>
              <w:ind w:left="919"/>
              <w:outlineLvl w:val="0"/>
              <w:rPr>
                <w:color w:val="auto"/>
                <w:sz w:val="24"/>
                <w:szCs w:val="24"/>
                <w:highlight w:val="none"/>
              </w:rPr>
            </w:pPr>
            <w:bookmarkStart w:id="62" w:name="_Toc8962"/>
            <w:r>
              <w:rPr>
                <w:color w:val="auto"/>
                <w:spacing w:val="-6"/>
                <w:sz w:val="24"/>
                <w:szCs w:val="24"/>
                <w:highlight w:val="none"/>
              </w:rPr>
              <w:t>响应情况</w:t>
            </w:r>
            <w:bookmarkEnd w:id="62"/>
          </w:p>
        </w:tc>
        <w:tc>
          <w:tcPr>
            <w:tcW w:w="2071" w:type="dxa"/>
            <w:vAlign w:val="top"/>
          </w:tcPr>
          <w:p w14:paraId="62B1045B">
            <w:pPr>
              <w:pStyle w:val="13"/>
              <w:spacing w:before="170" w:line="220" w:lineRule="auto"/>
              <w:ind w:left="564"/>
              <w:outlineLvl w:val="0"/>
              <w:rPr>
                <w:color w:val="auto"/>
                <w:sz w:val="24"/>
                <w:szCs w:val="24"/>
                <w:highlight w:val="none"/>
              </w:rPr>
            </w:pPr>
            <w:bookmarkStart w:id="63" w:name="_Toc16555"/>
            <w:r>
              <w:rPr>
                <w:color w:val="auto"/>
                <w:spacing w:val="-4"/>
                <w:sz w:val="24"/>
                <w:szCs w:val="24"/>
                <w:highlight w:val="none"/>
              </w:rPr>
              <w:t>差异说明</w:t>
            </w:r>
            <w:bookmarkEnd w:id="63"/>
          </w:p>
        </w:tc>
      </w:tr>
      <w:tr w14:paraId="0B70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4BF14C31">
            <w:pPr>
              <w:rPr>
                <w:rFonts w:ascii="Arial"/>
                <w:color w:val="auto"/>
                <w:sz w:val="21"/>
                <w:highlight w:val="none"/>
              </w:rPr>
            </w:pPr>
          </w:p>
        </w:tc>
        <w:tc>
          <w:tcPr>
            <w:tcW w:w="3346" w:type="dxa"/>
            <w:vAlign w:val="top"/>
          </w:tcPr>
          <w:p w14:paraId="7E5C8644">
            <w:pPr>
              <w:rPr>
                <w:rFonts w:ascii="Arial"/>
                <w:color w:val="auto"/>
                <w:sz w:val="21"/>
                <w:highlight w:val="none"/>
              </w:rPr>
            </w:pPr>
          </w:p>
        </w:tc>
        <w:tc>
          <w:tcPr>
            <w:tcW w:w="2757" w:type="dxa"/>
            <w:vAlign w:val="top"/>
          </w:tcPr>
          <w:p w14:paraId="53193B9E">
            <w:pPr>
              <w:rPr>
                <w:rFonts w:ascii="Arial"/>
                <w:color w:val="auto"/>
                <w:sz w:val="21"/>
                <w:highlight w:val="none"/>
              </w:rPr>
            </w:pPr>
          </w:p>
        </w:tc>
        <w:tc>
          <w:tcPr>
            <w:tcW w:w="2071" w:type="dxa"/>
            <w:vAlign w:val="top"/>
          </w:tcPr>
          <w:p w14:paraId="6FF665B6">
            <w:pPr>
              <w:rPr>
                <w:rFonts w:ascii="Arial"/>
                <w:color w:val="auto"/>
                <w:sz w:val="21"/>
                <w:highlight w:val="none"/>
              </w:rPr>
            </w:pPr>
          </w:p>
        </w:tc>
      </w:tr>
      <w:tr w14:paraId="32BB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495FBC16">
            <w:pPr>
              <w:rPr>
                <w:rFonts w:ascii="Arial"/>
                <w:color w:val="auto"/>
                <w:sz w:val="21"/>
                <w:highlight w:val="none"/>
              </w:rPr>
            </w:pPr>
          </w:p>
        </w:tc>
        <w:tc>
          <w:tcPr>
            <w:tcW w:w="3346" w:type="dxa"/>
            <w:vAlign w:val="top"/>
          </w:tcPr>
          <w:p w14:paraId="701C309F">
            <w:pPr>
              <w:rPr>
                <w:rFonts w:ascii="Arial"/>
                <w:color w:val="auto"/>
                <w:sz w:val="21"/>
                <w:highlight w:val="none"/>
              </w:rPr>
            </w:pPr>
          </w:p>
        </w:tc>
        <w:tc>
          <w:tcPr>
            <w:tcW w:w="2757" w:type="dxa"/>
            <w:vAlign w:val="top"/>
          </w:tcPr>
          <w:p w14:paraId="6B705469">
            <w:pPr>
              <w:rPr>
                <w:rFonts w:ascii="Arial"/>
                <w:color w:val="auto"/>
                <w:sz w:val="21"/>
                <w:highlight w:val="none"/>
              </w:rPr>
            </w:pPr>
          </w:p>
        </w:tc>
        <w:tc>
          <w:tcPr>
            <w:tcW w:w="2071" w:type="dxa"/>
            <w:vAlign w:val="top"/>
          </w:tcPr>
          <w:p w14:paraId="51EA25A6">
            <w:pPr>
              <w:rPr>
                <w:rFonts w:ascii="Arial"/>
                <w:color w:val="auto"/>
                <w:sz w:val="21"/>
                <w:highlight w:val="none"/>
              </w:rPr>
            </w:pPr>
          </w:p>
        </w:tc>
      </w:tr>
      <w:tr w14:paraId="263D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84382EF">
            <w:pPr>
              <w:rPr>
                <w:rFonts w:ascii="Arial"/>
                <w:color w:val="auto"/>
                <w:sz w:val="21"/>
                <w:highlight w:val="none"/>
              </w:rPr>
            </w:pPr>
          </w:p>
        </w:tc>
        <w:tc>
          <w:tcPr>
            <w:tcW w:w="3346" w:type="dxa"/>
            <w:vAlign w:val="top"/>
          </w:tcPr>
          <w:p w14:paraId="3CB03223">
            <w:pPr>
              <w:rPr>
                <w:rFonts w:ascii="Arial"/>
                <w:color w:val="auto"/>
                <w:sz w:val="21"/>
                <w:highlight w:val="none"/>
              </w:rPr>
            </w:pPr>
          </w:p>
        </w:tc>
        <w:tc>
          <w:tcPr>
            <w:tcW w:w="2757" w:type="dxa"/>
            <w:vAlign w:val="top"/>
          </w:tcPr>
          <w:p w14:paraId="4E6C0EFB">
            <w:pPr>
              <w:rPr>
                <w:rFonts w:ascii="Arial"/>
                <w:color w:val="auto"/>
                <w:sz w:val="21"/>
                <w:highlight w:val="none"/>
              </w:rPr>
            </w:pPr>
          </w:p>
        </w:tc>
        <w:tc>
          <w:tcPr>
            <w:tcW w:w="2071" w:type="dxa"/>
            <w:vAlign w:val="top"/>
          </w:tcPr>
          <w:p w14:paraId="59B173F1">
            <w:pPr>
              <w:rPr>
                <w:rFonts w:ascii="Arial"/>
                <w:color w:val="auto"/>
                <w:sz w:val="21"/>
                <w:highlight w:val="none"/>
              </w:rPr>
            </w:pPr>
          </w:p>
        </w:tc>
      </w:tr>
      <w:tr w14:paraId="77F5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60F08DA">
            <w:pPr>
              <w:rPr>
                <w:rFonts w:ascii="Arial"/>
                <w:color w:val="auto"/>
                <w:sz w:val="21"/>
                <w:highlight w:val="none"/>
              </w:rPr>
            </w:pPr>
          </w:p>
        </w:tc>
        <w:tc>
          <w:tcPr>
            <w:tcW w:w="3346" w:type="dxa"/>
            <w:vAlign w:val="top"/>
          </w:tcPr>
          <w:p w14:paraId="7A22E40A">
            <w:pPr>
              <w:rPr>
                <w:rFonts w:ascii="Arial"/>
                <w:color w:val="auto"/>
                <w:sz w:val="21"/>
                <w:highlight w:val="none"/>
              </w:rPr>
            </w:pPr>
          </w:p>
        </w:tc>
        <w:tc>
          <w:tcPr>
            <w:tcW w:w="2757" w:type="dxa"/>
            <w:vAlign w:val="top"/>
          </w:tcPr>
          <w:p w14:paraId="0F145F17">
            <w:pPr>
              <w:rPr>
                <w:rFonts w:ascii="Arial"/>
                <w:color w:val="auto"/>
                <w:sz w:val="21"/>
                <w:highlight w:val="none"/>
              </w:rPr>
            </w:pPr>
          </w:p>
        </w:tc>
        <w:tc>
          <w:tcPr>
            <w:tcW w:w="2071" w:type="dxa"/>
            <w:vAlign w:val="top"/>
          </w:tcPr>
          <w:p w14:paraId="43569B30">
            <w:pPr>
              <w:rPr>
                <w:rFonts w:ascii="Arial"/>
                <w:color w:val="auto"/>
                <w:sz w:val="21"/>
                <w:highlight w:val="none"/>
              </w:rPr>
            </w:pPr>
          </w:p>
        </w:tc>
      </w:tr>
      <w:tr w14:paraId="68B5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F5302DC">
            <w:pPr>
              <w:rPr>
                <w:rFonts w:ascii="Arial"/>
                <w:color w:val="auto"/>
                <w:sz w:val="21"/>
                <w:highlight w:val="none"/>
              </w:rPr>
            </w:pPr>
          </w:p>
        </w:tc>
        <w:tc>
          <w:tcPr>
            <w:tcW w:w="3346" w:type="dxa"/>
            <w:vAlign w:val="top"/>
          </w:tcPr>
          <w:p w14:paraId="027C1EC2">
            <w:pPr>
              <w:rPr>
                <w:rFonts w:ascii="Arial"/>
                <w:color w:val="auto"/>
                <w:sz w:val="21"/>
                <w:highlight w:val="none"/>
              </w:rPr>
            </w:pPr>
          </w:p>
        </w:tc>
        <w:tc>
          <w:tcPr>
            <w:tcW w:w="2757" w:type="dxa"/>
            <w:vAlign w:val="top"/>
          </w:tcPr>
          <w:p w14:paraId="7ACD92BB">
            <w:pPr>
              <w:rPr>
                <w:rFonts w:ascii="Arial"/>
                <w:color w:val="auto"/>
                <w:sz w:val="21"/>
                <w:highlight w:val="none"/>
              </w:rPr>
            </w:pPr>
          </w:p>
        </w:tc>
        <w:tc>
          <w:tcPr>
            <w:tcW w:w="2071" w:type="dxa"/>
            <w:vAlign w:val="top"/>
          </w:tcPr>
          <w:p w14:paraId="40DEBDA8">
            <w:pPr>
              <w:rPr>
                <w:rFonts w:ascii="Arial"/>
                <w:color w:val="auto"/>
                <w:sz w:val="21"/>
                <w:highlight w:val="none"/>
              </w:rPr>
            </w:pPr>
          </w:p>
        </w:tc>
      </w:tr>
      <w:tr w14:paraId="086D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4AC4562">
            <w:pPr>
              <w:rPr>
                <w:rFonts w:ascii="Arial"/>
                <w:color w:val="auto"/>
                <w:sz w:val="21"/>
                <w:highlight w:val="none"/>
              </w:rPr>
            </w:pPr>
          </w:p>
        </w:tc>
        <w:tc>
          <w:tcPr>
            <w:tcW w:w="3346" w:type="dxa"/>
            <w:vAlign w:val="top"/>
          </w:tcPr>
          <w:p w14:paraId="3D9F3AD8">
            <w:pPr>
              <w:rPr>
                <w:rFonts w:ascii="Arial"/>
                <w:color w:val="auto"/>
                <w:sz w:val="21"/>
                <w:highlight w:val="none"/>
              </w:rPr>
            </w:pPr>
          </w:p>
        </w:tc>
        <w:tc>
          <w:tcPr>
            <w:tcW w:w="2757" w:type="dxa"/>
            <w:vAlign w:val="top"/>
          </w:tcPr>
          <w:p w14:paraId="7874B597">
            <w:pPr>
              <w:rPr>
                <w:rFonts w:ascii="Arial"/>
                <w:color w:val="auto"/>
                <w:sz w:val="21"/>
                <w:highlight w:val="none"/>
              </w:rPr>
            </w:pPr>
          </w:p>
        </w:tc>
        <w:tc>
          <w:tcPr>
            <w:tcW w:w="2071" w:type="dxa"/>
            <w:vAlign w:val="top"/>
          </w:tcPr>
          <w:p w14:paraId="61A7A495">
            <w:pPr>
              <w:rPr>
                <w:rFonts w:ascii="Arial"/>
                <w:color w:val="auto"/>
                <w:sz w:val="21"/>
                <w:highlight w:val="none"/>
              </w:rPr>
            </w:pPr>
          </w:p>
        </w:tc>
      </w:tr>
      <w:tr w14:paraId="7352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2A4360D">
            <w:pPr>
              <w:rPr>
                <w:rFonts w:ascii="Arial"/>
                <w:color w:val="auto"/>
                <w:sz w:val="21"/>
                <w:highlight w:val="none"/>
              </w:rPr>
            </w:pPr>
          </w:p>
        </w:tc>
        <w:tc>
          <w:tcPr>
            <w:tcW w:w="3346" w:type="dxa"/>
            <w:vAlign w:val="top"/>
          </w:tcPr>
          <w:p w14:paraId="6D18A521">
            <w:pPr>
              <w:rPr>
                <w:rFonts w:ascii="Arial"/>
                <w:color w:val="auto"/>
                <w:sz w:val="21"/>
                <w:highlight w:val="none"/>
              </w:rPr>
            </w:pPr>
          </w:p>
        </w:tc>
        <w:tc>
          <w:tcPr>
            <w:tcW w:w="2757" w:type="dxa"/>
            <w:vAlign w:val="top"/>
          </w:tcPr>
          <w:p w14:paraId="4FACD8AD">
            <w:pPr>
              <w:rPr>
                <w:rFonts w:ascii="Arial"/>
                <w:color w:val="auto"/>
                <w:sz w:val="21"/>
                <w:highlight w:val="none"/>
              </w:rPr>
            </w:pPr>
          </w:p>
        </w:tc>
        <w:tc>
          <w:tcPr>
            <w:tcW w:w="2071" w:type="dxa"/>
            <w:vAlign w:val="top"/>
          </w:tcPr>
          <w:p w14:paraId="748CD4CC">
            <w:pPr>
              <w:rPr>
                <w:rFonts w:ascii="Arial"/>
                <w:color w:val="auto"/>
                <w:sz w:val="21"/>
                <w:highlight w:val="none"/>
              </w:rPr>
            </w:pPr>
          </w:p>
        </w:tc>
      </w:tr>
      <w:tr w14:paraId="6BEA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D2AFDFE">
            <w:pPr>
              <w:rPr>
                <w:rFonts w:ascii="Arial"/>
                <w:color w:val="auto"/>
                <w:sz w:val="21"/>
                <w:highlight w:val="none"/>
              </w:rPr>
            </w:pPr>
          </w:p>
        </w:tc>
        <w:tc>
          <w:tcPr>
            <w:tcW w:w="3346" w:type="dxa"/>
            <w:vAlign w:val="top"/>
          </w:tcPr>
          <w:p w14:paraId="34F26211">
            <w:pPr>
              <w:rPr>
                <w:rFonts w:ascii="Arial"/>
                <w:color w:val="auto"/>
                <w:sz w:val="21"/>
                <w:highlight w:val="none"/>
              </w:rPr>
            </w:pPr>
          </w:p>
        </w:tc>
        <w:tc>
          <w:tcPr>
            <w:tcW w:w="2757" w:type="dxa"/>
            <w:vAlign w:val="top"/>
          </w:tcPr>
          <w:p w14:paraId="50128AB2">
            <w:pPr>
              <w:rPr>
                <w:rFonts w:ascii="Arial"/>
                <w:color w:val="auto"/>
                <w:sz w:val="21"/>
                <w:highlight w:val="none"/>
              </w:rPr>
            </w:pPr>
          </w:p>
        </w:tc>
        <w:tc>
          <w:tcPr>
            <w:tcW w:w="2071" w:type="dxa"/>
            <w:vAlign w:val="top"/>
          </w:tcPr>
          <w:p w14:paraId="0C79B8D9">
            <w:pPr>
              <w:rPr>
                <w:rFonts w:ascii="Arial"/>
                <w:color w:val="auto"/>
                <w:sz w:val="21"/>
                <w:highlight w:val="none"/>
              </w:rPr>
            </w:pPr>
          </w:p>
        </w:tc>
      </w:tr>
      <w:tr w14:paraId="1F75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D58F031">
            <w:pPr>
              <w:rPr>
                <w:rFonts w:ascii="Arial"/>
                <w:color w:val="auto"/>
                <w:sz w:val="21"/>
                <w:highlight w:val="none"/>
              </w:rPr>
            </w:pPr>
          </w:p>
        </w:tc>
        <w:tc>
          <w:tcPr>
            <w:tcW w:w="3346" w:type="dxa"/>
            <w:vAlign w:val="top"/>
          </w:tcPr>
          <w:p w14:paraId="1931BACD">
            <w:pPr>
              <w:rPr>
                <w:rFonts w:ascii="Arial"/>
                <w:color w:val="auto"/>
                <w:sz w:val="21"/>
                <w:highlight w:val="none"/>
              </w:rPr>
            </w:pPr>
          </w:p>
        </w:tc>
        <w:tc>
          <w:tcPr>
            <w:tcW w:w="2757" w:type="dxa"/>
            <w:vAlign w:val="top"/>
          </w:tcPr>
          <w:p w14:paraId="59A58784">
            <w:pPr>
              <w:rPr>
                <w:rFonts w:ascii="Arial"/>
                <w:color w:val="auto"/>
                <w:sz w:val="21"/>
                <w:highlight w:val="none"/>
              </w:rPr>
            </w:pPr>
          </w:p>
        </w:tc>
        <w:tc>
          <w:tcPr>
            <w:tcW w:w="2071" w:type="dxa"/>
            <w:vAlign w:val="top"/>
          </w:tcPr>
          <w:p w14:paraId="3E039783">
            <w:pPr>
              <w:rPr>
                <w:rFonts w:ascii="Arial"/>
                <w:color w:val="auto"/>
                <w:sz w:val="21"/>
                <w:highlight w:val="none"/>
              </w:rPr>
            </w:pPr>
          </w:p>
        </w:tc>
      </w:tr>
      <w:tr w14:paraId="5E2B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636D1072">
            <w:pPr>
              <w:rPr>
                <w:rFonts w:ascii="Arial"/>
                <w:color w:val="auto"/>
                <w:sz w:val="21"/>
                <w:highlight w:val="none"/>
              </w:rPr>
            </w:pPr>
          </w:p>
        </w:tc>
        <w:tc>
          <w:tcPr>
            <w:tcW w:w="3346" w:type="dxa"/>
            <w:vAlign w:val="top"/>
          </w:tcPr>
          <w:p w14:paraId="74BE275C">
            <w:pPr>
              <w:rPr>
                <w:rFonts w:ascii="Arial"/>
                <w:color w:val="auto"/>
                <w:sz w:val="21"/>
                <w:highlight w:val="none"/>
              </w:rPr>
            </w:pPr>
          </w:p>
        </w:tc>
        <w:tc>
          <w:tcPr>
            <w:tcW w:w="2757" w:type="dxa"/>
            <w:vAlign w:val="top"/>
          </w:tcPr>
          <w:p w14:paraId="4DE934E1">
            <w:pPr>
              <w:rPr>
                <w:rFonts w:ascii="Arial"/>
                <w:color w:val="auto"/>
                <w:sz w:val="21"/>
                <w:highlight w:val="none"/>
              </w:rPr>
            </w:pPr>
          </w:p>
        </w:tc>
        <w:tc>
          <w:tcPr>
            <w:tcW w:w="2071" w:type="dxa"/>
            <w:vAlign w:val="top"/>
          </w:tcPr>
          <w:p w14:paraId="3F1D72C1">
            <w:pPr>
              <w:rPr>
                <w:rFonts w:ascii="Arial"/>
                <w:color w:val="auto"/>
                <w:sz w:val="21"/>
                <w:highlight w:val="none"/>
              </w:rPr>
            </w:pPr>
          </w:p>
        </w:tc>
      </w:tr>
    </w:tbl>
    <w:p w14:paraId="42101550">
      <w:pPr>
        <w:spacing w:before="98" w:line="219" w:lineRule="auto"/>
        <w:ind w:left="6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供应商：                              </w:t>
      </w:r>
      <w:r>
        <w:rPr>
          <w:rFonts w:ascii="宋体" w:hAnsi="宋体" w:eastAsia="宋体" w:cs="宋体"/>
          <w:color w:val="auto"/>
          <w:spacing w:val="-1"/>
          <w:sz w:val="24"/>
          <w:szCs w:val="24"/>
          <w:highlight w:val="none"/>
        </w:rPr>
        <w:t xml:space="preserve"> 法定代表人授权代表：</w:t>
      </w:r>
    </w:p>
    <w:p w14:paraId="7990A4D4">
      <w:pPr>
        <w:pStyle w:val="6"/>
        <w:spacing w:line="395" w:lineRule="auto"/>
        <w:rPr>
          <w:color w:val="auto"/>
          <w:highlight w:val="none"/>
        </w:rPr>
      </w:pPr>
    </w:p>
    <w:p w14:paraId="3328083F">
      <w:pPr>
        <w:spacing w:before="79" w:line="219"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（供应商公章</w:t>
      </w:r>
      <w:r>
        <w:rPr>
          <w:rFonts w:ascii="宋体" w:hAnsi="宋体" w:eastAsia="宋体" w:cs="宋体"/>
          <w:color w:val="auto"/>
          <w:spacing w:val="-17"/>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签字或盖章）</w:t>
      </w:r>
    </w:p>
    <w:p w14:paraId="391F7F54">
      <w:pPr>
        <w:spacing w:before="94" w:line="220" w:lineRule="auto"/>
        <w:ind w:left="585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p w14:paraId="47C256A6">
      <w:pPr>
        <w:spacing w:before="96" w:line="224" w:lineRule="auto"/>
        <w:ind w:left="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6C67C873">
      <w:pPr>
        <w:spacing w:before="89" w:line="268" w:lineRule="auto"/>
        <w:ind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1.本表必须按照“第三篇  询价项目</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需求</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”中所列内容逐</w:t>
      </w:r>
      <w:r>
        <w:rPr>
          <w:rFonts w:ascii="宋体" w:hAnsi="宋体" w:eastAsia="宋体" w:cs="宋体"/>
          <w:color w:val="auto"/>
          <w:spacing w:val="-1"/>
          <w:sz w:val="24"/>
          <w:szCs w:val="24"/>
          <w:highlight w:val="none"/>
        </w:rPr>
        <w:t>条进行比较和响应，根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据响应情况在“差异说明</w:t>
      </w:r>
      <w:r>
        <w:rPr>
          <w:rFonts w:ascii="宋体" w:hAnsi="宋体" w:eastAsia="宋体" w:cs="宋体"/>
          <w:color w:val="auto"/>
          <w:spacing w:val="-72"/>
          <w:sz w:val="24"/>
          <w:szCs w:val="24"/>
          <w:highlight w:val="none"/>
        </w:rPr>
        <w:t xml:space="preserve"> </w:t>
      </w:r>
      <w:r>
        <w:rPr>
          <w:rFonts w:ascii="宋体" w:hAnsi="宋体" w:eastAsia="宋体" w:cs="宋体"/>
          <w:color w:val="auto"/>
          <w:spacing w:val="-1"/>
          <w:sz w:val="24"/>
          <w:szCs w:val="24"/>
          <w:highlight w:val="none"/>
        </w:rPr>
        <w:t>”项填写正偏离或负偏离及原因，完全符合的填写“无差异</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u w:val="single" w:color="auto"/>
        </w:rPr>
        <w:t>未按照规定要求填写的，视为无效响应。</w:t>
      </w:r>
    </w:p>
    <w:p w14:paraId="2058B3BD">
      <w:pPr>
        <w:spacing w:before="93" w:line="219" w:lineRule="auto"/>
        <w:ind w:left="483"/>
        <w:outlineLvl w:val="9"/>
        <w:rPr>
          <w:rFonts w:ascii="宋体" w:hAnsi="宋体" w:eastAsia="宋体" w:cs="宋体"/>
          <w:color w:val="auto"/>
          <w:sz w:val="24"/>
          <w:szCs w:val="24"/>
          <w:highlight w:val="none"/>
        </w:rPr>
      </w:pPr>
      <w:bookmarkStart w:id="64" w:name="_Toc10100"/>
      <w:r>
        <w:rPr>
          <w:rFonts w:ascii="宋体" w:hAnsi="宋体" w:eastAsia="宋体" w:cs="宋体"/>
          <w:color w:val="auto"/>
          <w:sz w:val="24"/>
          <w:szCs w:val="24"/>
          <w:highlight w:val="none"/>
        </w:rPr>
        <w:t>2.供应商应按询价通知书的要求（如有）提供相</w:t>
      </w:r>
      <w:r>
        <w:rPr>
          <w:rFonts w:ascii="宋体" w:hAnsi="宋体" w:eastAsia="宋体" w:cs="宋体"/>
          <w:color w:val="auto"/>
          <w:spacing w:val="-1"/>
          <w:sz w:val="24"/>
          <w:szCs w:val="24"/>
          <w:highlight w:val="none"/>
        </w:rPr>
        <w:t>关技术支撑材料。（格式自定）</w:t>
      </w:r>
      <w:bookmarkEnd w:id="64"/>
    </w:p>
    <w:p w14:paraId="5800A73F">
      <w:pPr>
        <w:spacing w:before="95" w:line="219"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 xml:space="preserve">3. </w:t>
      </w:r>
      <w:r>
        <w:rPr>
          <w:rFonts w:ascii="宋体" w:hAnsi="宋体" w:eastAsia="宋体" w:cs="宋体"/>
          <w:color w:val="auto"/>
          <w:spacing w:val="-4"/>
          <w:sz w:val="24"/>
          <w:szCs w:val="24"/>
          <w:highlight w:val="none"/>
          <w:u w:val="single" w:color="auto"/>
        </w:rPr>
        <w:t>供应商在“差异说明</w:t>
      </w:r>
      <w:r>
        <w:rPr>
          <w:rFonts w:ascii="宋体" w:hAnsi="宋体" w:eastAsia="宋体" w:cs="宋体"/>
          <w:color w:val="auto"/>
          <w:spacing w:val="-79"/>
          <w:sz w:val="24"/>
          <w:szCs w:val="24"/>
          <w:highlight w:val="none"/>
          <w:u w:val="single" w:color="auto"/>
        </w:rPr>
        <w:t xml:space="preserve"> </w:t>
      </w:r>
      <w:r>
        <w:rPr>
          <w:rFonts w:ascii="宋体" w:hAnsi="宋体" w:eastAsia="宋体" w:cs="宋体"/>
          <w:color w:val="auto"/>
          <w:spacing w:val="-4"/>
          <w:sz w:val="24"/>
          <w:szCs w:val="24"/>
          <w:highlight w:val="none"/>
          <w:u w:val="single" w:color="auto"/>
        </w:rPr>
        <w:t>”项填写为“正偏离</w:t>
      </w:r>
      <w:r>
        <w:rPr>
          <w:rFonts w:ascii="宋体" w:hAnsi="宋体" w:eastAsia="宋体" w:cs="宋体"/>
          <w:color w:val="auto"/>
          <w:spacing w:val="-88"/>
          <w:sz w:val="24"/>
          <w:szCs w:val="24"/>
          <w:highlight w:val="none"/>
          <w:u w:val="single" w:color="auto"/>
        </w:rPr>
        <w:t xml:space="preserve"> </w:t>
      </w:r>
      <w:r>
        <w:rPr>
          <w:rFonts w:ascii="宋体" w:hAnsi="宋体" w:eastAsia="宋体" w:cs="宋体"/>
          <w:color w:val="auto"/>
          <w:spacing w:val="-4"/>
          <w:sz w:val="24"/>
          <w:szCs w:val="24"/>
          <w:highlight w:val="none"/>
          <w:u w:val="single" w:color="auto"/>
        </w:rPr>
        <w:t>”的，必须提供相关技术支撑材料予以证</w:t>
      </w:r>
    </w:p>
    <w:p w14:paraId="1533F08E">
      <w:pPr>
        <w:spacing w:before="97" w:line="220" w:lineRule="auto"/>
        <w:ind w:left="23"/>
        <w:outlineLvl w:val="9"/>
        <w:rPr>
          <w:rFonts w:ascii="宋体" w:hAnsi="宋体" w:eastAsia="宋体" w:cs="宋体"/>
          <w:color w:val="auto"/>
          <w:sz w:val="24"/>
          <w:szCs w:val="24"/>
          <w:highlight w:val="none"/>
        </w:rPr>
      </w:pPr>
      <w:bookmarkStart w:id="65" w:name="_Toc32763"/>
      <w:r>
        <w:rPr>
          <w:rFonts w:ascii="宋体" w:hAnsi="宋体" w:eastAsia="宋体" w:cs="宋体"/>
          <w:color w:val="auto"/>
          <w:sz w:val="24"/>
          <w:szCs w:val="24"/>
          <w:highlight w:val="none"/>
          <w:u w:val="single" w:color="auto"/>
        </w:rPr>
        <w:t>明，否则不予认可。</w:t>
      </w:r>
      <w:bookmarkEnd w:id="65"/>
    </w:p>
    <w:p w14:paraId="00E3FCFF">
      <w:pPr>
        <w:spacing w:line="220" w:lineRule="auto"/>
        <w:rPr>
          <w:rFonts w:ascii="宋体" w:hAnsi="宋体" w:eastAsia="宋体" w:cs="宋体"/>
          <w:color w:val="auto"/>
          <w:sz w:val="24"/>
          <w:szCs w:val="24"/>
          <w:highlight w:val="none"/>
        </w:rPr>
        <w:sectPr>
          <w:footerReference r:id="rId19" w:type="default"/>
          <w:pgSz w:w="11906" w:h="16839"/>
          <w:pgMar w:top="1178" w:right="1190" w:bottom="1222" w:left="1311" w:header="0" w:footer="853" w:gutter="0"/>
          <w:pgNumType w:fmt="decimal"/>
          <w:cols w:space="720" w:num="1"/>
        </w:sectPr>
      </w:pPr>
    </w:p>
    <w:p w14:paraId="30F9F42A">
      <w:pPr>
        <w:spacing w:before="53" w:line="241" w:lineRule="auto"/>
        <w:ind w:left="504"/>
        <w:outlineLvl w:val="1"/>
        <w:rPr>
          <w:rFonts w:ascii="黑体" w:hAnsi="黑体" w:eastAsia="黑体" w:cs="黑体"/>
          <w:color w:val="auto"/>
          <w:sz w:val="24"/>
          <w:szCs w:val="24"/>
          <w:highlight w:val="none"/>
        </w:rPr>
      </w:pPr>
      <w:bookmarkStart w:id="66" w:name="bookmark37"/>
      <w:bookmarkEnd w:id="66"/>
      <w:bookmarkStart w:id="67" w:name="_Toc11060"/>
      <w:r>
        <w:rPr>
          <w:rFonts w:ascii="黑体" w:hAnsi="黑体" w:eastAsia="黑体" w:cs="黑体"/>
          <w:color w:val="auto"/>
          <w:spacing w:val="-3"/>
          <w:sz w:val="24"/>
          <w:szCs w:val="24"/>
          <w:highlight w:val="none"/>
        </w:rPr>
        <w:t>三、商务部分</w:t>
      </w:r>
      <w:bookmarkEnd w:id="67"/>
    </w:p>
    <w:p w14:paraId="32E57587">
      <w:pPr>
        <w:spacing w:before="75" w:line="220" w:lineRule="auto"/>
        <w:ind w:left="504"/>
        <w:outlineLvl w:val="9"/>
        <w:rPr>
          <w:rFonts w:ascii="宋体" w:hAnsi="宋体" w:eastAsia="宋体" w:cs="宋体"/>
          <w:color w:val="auto"/>
          <w:sz w:val="24"/>
          <w:szCs w:val="24"/>
          <w:highlight w:val="none"/>
        </w:rPr>
      </w:pPr>
      <w:bookmarkStart w:id="68" w:name="_Toc14539"/>
      <w:r>
        <w:rPr>
          <w:rFonts w:ascii="宋体" w:hAnsi="宋体" w:eastAsia="宋体" w:cs="宋体"/>
          <w:color w:val="auto"/>
          <w:spacing w:val="-3"/>
          <w:sz w:val="24"/>
          <w:szCs w:val="24"/>
          <w:highlight w:val="none"/>
        </w:rPr>
        <w:t>（一）商务响应偏离表</w:t>
      </w:r>
      <w:bookmarkEnd w:id="68"/>
    </w:p>
    <w:p w14:paraId="7F03C4A1">
      <w:pPr>
        <w:spacing w:before="95" w:line="220" w:lineRule="auto"/>
        <w:ind w:left="3399"/>
        <w:outlineLvl w:val="9"/>
        <w:rPr>
          <w:rFonts w:ascii="宋体" w:hAnsi="宋体" w:eastAsia="宋体" w:cs="宋体"/>
          <w:color w:val="auto"/>
          <w:sz w:val="24"/>
          <w:szCs w:val="24"/>
          <w:highlight w:val="none"/>
        </w:rPr>
      </w:pPr>
      <w:bookmarkStart w:id="69" w:name="_Toc6450"/>
      <w:r>
        <w:rPr>
          <w:rFonts w:ascii="宋体" w:hAnsi="宋体" w:eastAsia="宋体" w:cs="宋体"/>
          <w:b/>
          <w:bCs/>
          <w:color w:val="auto"/>
          <w:spacing w:val="-3"/>
          <w:sz w:val="24"/>
          <w:szCs w:val="24"/>
          <w:highlight w:val="none"/>
        </w:rPr>
        <w:t>商务响应偏离表（格式）</w:t>
      </w:r>
      <w:bookmarkEnd w:id="69"/>
    </w:p>
    <w:p w14:paraId="73221161">
      <w:pPr>
        <w:pStyle w:val="6"/>
        <w:spacing w:line="391" w:lineRule="auto"/>
        <w:rPr>
          <w:color w:val="auto"/>
          <w:highlight w:val="none"/>
        </w:rPr>
      </w:pPr>
    </w:p>
    <w:p w14:paraId="59CDEFAB">
      <w:pPr>
        <w:spacing w:before="78" w:line="217" w:lineRule="auto"/>
        <w:ind w:left="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对于询价通知书的商务要求，如有任何偏离请如实填写下表：</w:t>
      </w:r>
    </w:p>
    <w:tbl>
      <w:tblPr>
        <w:tblStyle w:val="12"/>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77C2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24ECC350">
            <w:pPr>
              <w:spacing w:line="290" w:lineRule="auto"/>
              <w:rPr>
                <w:rFonts w:ascii="Arial"/>
                <w:color w:val="auto"/>
                <w:sz w:val="21"/>
                <w:highlight w:val="none"/>
              </w:rPr>
            </w:pPr>
          </w:p>
          <w:p w14:paraId="277B3DE0">
            <w:pPr>
              <w:pStyle w:val="13"/>
              <w:spacing w:before="78" w:line="222" w:lineRule="auto"/>
              <w:ind w:left="264"/>
              <w:outlineLvl w:val="0"/>
              <w:rPr>
                <w:color w:val="auto"/>
                <w:sz w:val="24"/>
                <w:szCs w:val="24"/>
                <w:highlight w:val="none"/>
              </w:rPr>
            </w:pPr>
            <w:bookmarkStart w:id="70" w:name="_Toc30631"/>
            <w:r>
              <w:rPr>
                <w:color w:val="auto"/>
                <w:spacing w:val="-5"/>
                <w:sz w:val="24"/>
                <w:szCs w:val="24"/>
                <w:highlight w:val="none"/>
              </w:rPr>
              <w:t>序号</w:t>
            </w:r>
            <w:bookmarkEnd w:id="70"/>
          </w:p>
        </w:tc>
        <w:tc>
          <w:tcPr>
            <w:tcW w:w="2692" w:type="dxa"/>
            <w:vAlign w:val="top"/>
          </w:tcPr>
          <w:p w14:paraId="72A7A3A9">
            <w:pPr>
              <w:spacing w:line="291" w:lineRule="auto"/>
              <w:rPr>
                <w:rFonts w:ascii="Arial"/>
                <w:color w:val="auto"/>
                <w:sz w:val="21"/>
                <w:highlight w:val="none"/>
              </w:rPr>
            </w:pPr>
          </w:p>
          <w:p w14:paraId="50946E3D">
            <w:pPr>
              <w:pStyle w:val="13"/>
              <w:spacing w:before="78" w:line="220" w:lineRule="auto"/>
              <w:ind w:left="635"/>
              <w:outlineLvl w:val="0"/>
              <w:rPr>
                <w:color w:val="auto"/>
                <w:sz w:val="24"/>
                <w:szCs w:val="24"/>
                <w:highlight w:val="none"/>
              </w:rPr>
            </w:pPr>
            <w:bookmarkStart w:id="71" w:name="_Toc19390"/>
            <w:r>
              <w:rPr>
                <w:color w:val="auto"/>
                <w:spacing w:val="-3"/>
                <w:sz w:val="24"/>
                <w:szCs w:val="24"/>
                <w:highlight w:val="none"/>
              </w:rPr>
              <w:t>项目商务需求</w:t>
            </w:r>
            <w:bookmarkEnd w:id="71"/>
          </w:p>
        </w:tc>
        <w:tc>
          <w:tcPr>
            <w:tcW w:w="2833" w:type="dxa"/>
            <w:vAlign w:val="top"/>
          </w:tcPr>
          <w:p w14:paraId="774684B6">
            <w:pPr>
              <w:spacing w:line="290" w:lineRule="auto"/>
              <w:rPr>
                <w:rFonts w:ascii="Arial"/>
                <w:color w:val="auto"/>
                <w:sz w:val="21"/>
                <w:highlight w:val="none"/>
              </w:rPr>
            </w:pPr>
          </w:p>
          <w:p w14:paraId="2F54D464">
            <w:pPr>
              <w:pStyle w:val="13"/>
              <w:spacing w:before="78" w:line="221" w:lineRule="auto"/>
              <w:ind w:left="956"/>
              <w:outlineLvl w:val="0"/>
              <w:rPr>
                <w:color w:val="auto"/>
                <w:sz w:val="24"/>
                <w:szCs w:val="24"/>
                <w:highlight w:val="none"/>
              </w:rPr>
            </w:pPr>
            <w:bookmarkStart w:id="72" w:name="_Toc30151"/>
            <w:r>
              <w:rPr>
                <w:color w:val="auto"/>
                <w:spacing w:val="-6"/>
                <w:sz w:val="24"/>
                <w:szCs w:val="24"/>
                <w:highlight w:val="none"/>
              </w:rPr>
              <w:t>响应情况</w:t>
            </w:r>
            <w:bookmarkEnd w:id="72"/>
          </w:p>
        </w:tc>
        <w:tc>
          <w:tcPr>
            <w:tcW w:w="2413" w:type="dxa"/>
            <w:vAlign w:val="top"/>
          </w:tcPr>
          <w:p w14:paraId="3252D954">
            <w:pPr>
              <w:spacing w:line="291" w:lineRule="auto"/>
              <w:rPr>
                <w:rFonts w:ascii="Arial"/>
                <w:color w:val="auto"/>
                <w:sz w:val="21"/>
                <w:highlight w:val="none"/>
              </w:rPr>
            </w:pPr>
          </w:p>
          <w:p w14:paraId="1761FF04">
            <w:pPr>
              <w:pStyle w:val="13"/>
              <w:spacing w:before="78" w:line="220" w:lineRule="auto"/>
              <w:ind w:left="731"/>
              <w:outlineLvl w:val="0"/>
              <w:rPr>
                <w:color w:val="auto"/>
                <w:sz w:val="24"/>
                <w:szCs w:val="24"/>
                <w:highlight w:val="none"/>
              </w:rPr>
            </w:pPr>
            <w:bookmarkStart w:id="73" w:name="_Toc26284"/>
            <w:r>
              <w:rPr>
                <w:color w:val="auto"/>
                <w:spacing w:val="-3"/>
                <w:sz w:val="24"/>
                <w:szCs w:val="24"/>
                <w:highlight w:val="none"/>
              </w:rPr>
              <w:t>偏离说明</w:t>
            </w:r>
            <w:bookmarkEnd w:id="73"/>
          </w:p>
        </w:tc>
      </w:tr>
      <w:tr w14:paraId="73AC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7145F212">
            <w:pPr>
              <w:rPr>
                <w:rFonts w:ascii="Arial"/>
                <w:color w:val="auto"/>
                <w:sz w:val="21"/>
                <w:highlight w:val="none"/>
              </w:rPr>
            </w:pPr>
          </w:p>
        </w:tc>
        <w:tc>
          <w:tcPr>
            <w:tcW w:w="2692" w:type="dxa"/>
            <w:vAlign w:val="top"/>
          </w:tcPr>
          <w:p w14:paraId="2ED07D09">
            <w:pPr>
              <w:rPr>
                <w:rFonts w:ascii="Arial"/>
                <w:color w:val="auto"/>
                <w:sz w:val="21"/>
                <w:highlight w:val="none"/>
              </w:rPr>
            </w:pPr>
          </w:p>
        </w:tc>
        <w:tc>
          <w:tcPr>
            <w:tcW w:w="2833" w:type="dxa"/>
            <w:vAlign w:val="top"/>
          </w:tcPr>
          <w:p w14:paraId="743B184F">
            <w:pPr>
              <w:rPr>
                <w:rFonts w:ascii="Arial"/>
                <w:color w:val="auto"/>
                <w:sz w:val="21"/>
                <w:highlight w:val="none"/>
              </w:rPr>
            </w:pPr>
          </w:p>
        </w:tc>
        <w:tc>
          <w:tcPr>
            <w:tcW w:w="2413" w:type="dxa"/>
            <w:vAlign w:val="top"/>
          </w:tcPr>
          <w:p w14:paraId="487B6FD9">
            <w:pPr>
              <w:rPr>
                <w:rFonts w:ascii="Arial"/>
                <w:color w:val="auto"/>
                <w:sz w:val="21"/>
                <w:highlight w:val="none"/>
              </w:rPr>
            </w:pPr>
          </w:p>
        </w:tc>
      </w:tr>
      <w:tr w14:paraId="50B7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BD76B97">
            <w:pPr>
              <w:rPr>
                <w:rFonts w:ascii="Arial"/>
                <w:color w:val="auto"/>
                <w:sz w:val="21"/>
                <w:highlight w:val="none"/>
              </w:rPr>
            </w:pPr>
          </w:p>
        </w:tc>
        <w:tc>
          <w:tcPr>
            <w:tcW w:w="2692" w:type="dxa"/>
            <w:vAlign w:val="top"/>
          </w:tcPr>
          <w:p w14:paraId="0B5BFB72">
            <w:pPr>
              <w:rPr>
                <w:rFonts w:ascii="Arial"/>
                <w:color w:val="auto"/>
                <w:sz w:val="21"/>
                <w:highlight w:val="none"/>
              </w:rPr>
            </w:pPr>
          </w:p>
        </w:tc>
        <w:tc>
          <w:tcPr>
            <w:tcW w:w="2833" w:type="dxa"/>
            <w:vAlign w:val="top"/>
          </w:tcPr>
          <w:p w14:paraId="223175D8">
            <w:pPr>
              <w:rPr>
                <w:rFonts w:ascii="Arial"/>
                <w:color w:val="auto"/>
                <w:sz w:val="21"/>
                <w:highlight w:val="none"/>
              </w:rPr>
            </w:pPr>
          </w:p>
        </w:tc>
        <w:tc>
          <w:tcPr>
            <w:tcW w:w="2413" w:type="dxa"/>
            <w:vAlign w:val="top"/>
          </w:tcPr>
          <w:p w14:paraId="7D5B3A84">
            <w:pPr>
              <w:rPr>
                <w:rFonts w:ascii="Arial"/>
                <w:color w:val="auto"/>
                <w:sz w:val="21"/>
                <w:highlight w:val="none"/>
              </w:rPr>
            </w:pPr>
          </w:p>
        </w:tc>
      </w:tr>
      <w:tr w14:paraId="736F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1C6201D2">
            <w:pPr>
              <w:rPr>
                <w:rFonts w:ascii="Arial"/>
                <w:color w:val="auto"/>
                <w:sz w:val="21"/>
                <w:highlight w:val="none"/>
              </w:rPr>
            </w:pPr>
          </w:p>
        </w:tc>
        <w:tc>
          <w:tcPr>
            <w:tcW w:w="2692" w:type="dxa"/>
            <w:vAlign w:val="top"/>
          </w:tcPr>
          <w:p w14:paraId="5B94CE92">
            <w:pPr>
              <w:rPr>
                <w:rFonts w:ascii="Arial"/>
                <w:color w:val="auto"/>
                <w:sz w:val="21"/>
                <w:highlight w:val="none"/>
              </w:rPr>
            </w:pPr>
          </w:p>
        </w:tc>
        <w:tc>
          <w:tcPr>
            <w:tcW w:w="2833" w:type="dxa"/>
            <w:vAlign w:val="top"/>
          </w:tcPr>
          <w:p w14:paraId="6979FD9B">
            <w:pPr>
              <w:rPr>
                <w:rFonts w:ascii="Arial"/>
                <w:color w:val="auto"/>
                <w:sz w:val="21"/>
                <w:highlight w:val="none"/>
              </w:rPr>
            </w:pPr>
          </w:p>
        </w:tc>
        <w:tc>
          <w:tcPr>
            <w:tcW w:w="2413" w:type="dxa"/>
            <w:vAlign w:val="top"/>
          </w:tcPr>
          <w:p w14:paraId="49BAA6FF">
            <w:pPr>
              <w:rPr>
                <w:rFonts w:ascii="Arial"/>
                <w:color w:val="auto"/>
                <w:sz w:val="21"/>
                <w:highlight w:val="none"/>
              </w:rPr>
            </w:pPr>
          </w:p>
        </w:tc>
      </w:tr>
      <w:tr w14:paraId="38B1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53EDC7B">
            <w:pPr>
              <w:rPr>
                <w:rFonts w:ascii="Arial"/>
                <w:color w:val="auto"/>
                <w:sz w:val="21"/>
                <w:highlight w:val="none"/>
              </w:rPr>
            </w:pPr>
          </w:p>
        </w:tc>
        <w:tc>
          <w:tcPr>
            <w:tcW w:w="2692" w:type="dxa"/>
            <w:vAlign w:val="top"/>
          </w:tcPr>
          <w:p w14:paraId="41588FD2">
            <w:pPr>
              <w:rPr>
                <w:rFonts w:ascii="Arial"/>
                <w:color w:val="auto"/>
                <w:sz w:val="21"/>
                <w:highlight w:val="none"/>
              </w:rPr>
            </w:pPr>
          </w:p>
        </w:tc>
        <w:tc>
          <w:tcPr>
            <w:tcW w:w="2833" w:type="dxa"/>
            <w:vAlign w:val="top"/>
          </w:tcPr>
          <w:p w14:paraId="0E298657">
            <w:pPr>
              <w:rPr>
                <w:rFonts w:ascii="Arial"/>
                <w:color w:val="auto"/>
                <w:sz w:val="21"/>
                <w:highlight w:val="none"/>
              </w:rPr>
            </w:pPr>
          </w:p>
        </w:tc>
        <w:tc>
          <w:tcPr>
            <w:tcW w:w="2413" w:type="dxa"/>
            <w:vAlign w:val="top"/>
          </w:tcPr>
          <w:p w14:paraId="6AC5AE7D">
            <w:pPr>
              <w:rPr>
                <w:rFonts w:ascii="Arial"/>
                <w:color w:val="auto"/>
                <w:sz w:val="21"/>
                <w:highlight w:val="none"/>
              </w:rPr>
            </w:pPr>
          </w:p>
        </w:tc>
      </w:tr>
      <w:tr w14:paraId="1745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F18C7A5">
            <w:pPr>
              <w:rPr>
                <w:rFonts w:ascii="Arial"/>
                <w:color w:val="auto"/>
                <w:sz w:val="21"/>
                <w:highlight w:val="none"/>
              </w:rPr>
            </w:pPr>
          </w:p>
        </w:tc>
        <w:tc>
          <w:tcPr>
            <w:tcW w:w="2692" w:type="dxa"/>
            <w:vAlign w:val="top"/>
          </w:tcPr>
          <w:p w14:paraId="5B2D67EF">
            <w:pPr>
              <w:rPr>
                <w:rFonts w:ascii="Arial"/>
                <w:color w:val="auto"/>
                <w:sz w:val="21"/>
                <w:highlight w:val="none"/>
              </w:rPr>
            </w:pPr>
          </w:p>
        </w:tc>
        <w:tc>
          <w:tcPr>
            <w:tcW w:w="2833" w:type="dxa"/>
            <w:vAlign w:val="top"/>
          </w:tcPr>
          <w:p w14:paraId="6729ABEC">
            <w:pPr>
              <w:rPr>
                <w:rFonts w:ascii="Arial"/>
                <w:color w:val="auto"/>
                <w:sz w:val="21"/>
                <w:highlight w:val="none"/>
              </w:rPr>
            </w:pPr>
          </w:p>
        </w:tc>
        <w:tc>
          <w:tcPr>
            <w:tcW w:w="2413" w:type="dxa"/>
            <w:vAlign w:val="top"/>
          </w:tcPr>
          <w:p w14:paraId="02E97093">
            <w:pPr>
              <w:rPr>
                <w:rFonts w:ascii="Arial"/>
                <w:color w:val="auto"/>
                <w:sz w:val="21"/>
                <w:highlight w:val="none"/>
              </w:rPr>
            </w:pPr>
          </w:p>
        </w:tc>
      </w:tr>
      <w:tr w14:paraId="371E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4764CC69">
            <w:pPr>
              <w:rPr>
                <w:rFonts w:ascii="Arial"/>
                <w:color w:val="auto"/>
                <w:sz w:val="21"/>
                <w:highlight w:val="none"/>
              </w:rPr>
            </w:pPr>
          </w:p>
        </w:tc>
        <w:tc>
          <w:tcPr>
            <w:tcW w:w="2692" w:type="dxa"/>
            <w:vAlign w:val="top"/>
          </w:tcPr>
          <w:p w14:paraId="13F282B2">
            <w:pPr>
              <w:rPr>
                <w:rFonts w:ascii="Arial"/>
                <w:color w:val="auto"/>
                <w:sz w:val="21"/>
                <w:highlight w:val="none"/>
              </w:rPr>
            </w:pPr>
          </w:p>
        </w:tc>
        <w:tc>
          <w:tcPr>
            <w:tcW w:w="2833" w:type="dxa"/>
            <w:vAlign w:val="top"/>
          </w:tcPr>
          <w:p w14:paraId="41D6B775">
            <w:pPr>
              <w:rPr>
                <w:rFonts w:ascii="Arial"/>
                <w:color w:val="auto"/>
                <w:sz w:val="21"/>
                <w:highlight w:val="none"/>
              </w:rPr>
            </w:pPr>
          </w:p>
        </w:tc>
        <w:tc>
          <w:tcPr>
            <w:tcW w:w="2413" w:type="dxa"/>
            <w:vAlign w:val="top"/>
          </w:tcPr>
          <w:p w14:paraId="114CAF28">
            <w:pPr>
              <w:rPr>
                <w:rFonts w:ascii="Arial"/>
                <w:color w:val="auto"/>
                <w:sz w:val="21"/>
                <w:highlight w:val="none"/>
              </w:rPr>
            </w:pPr>
          </w:p>
        </w:tc>
      </w:tr>
    </w:tbl>
    <w:p w14:paraId="69E0A8FD">
      <w:pPr>
        <w:pStyle w:val="6"/>
        <w:spacing w:line="398" w:lineRule="auto"/>
        <w:rPr>
          <w:color w:val="auto"/>
          <w:highlight w:val="none"/>
        </w:rPr>
      </w:pPr>
    </w:p>
    <w:p w14:paraId="4B6DE93F">
      <w:pPr>
        <w:spacing w:before="79" w:line="219" w:lineRule="auto"/>
        <w:ind w:left="613"/>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供应商：                             </w:t>
      </w:r>
      <w:r>
        <w:rPr>
          <w:rFonts w:ascii="宋体" w:hAnsi="宋体" w:eastAsia="宋体" w:cs="宋体"/>
          <w:color w:val="auto"/>
          <w:spacing w:val="-1"/>
          <w:sz w:val="24"/>
          <w:szCs w:val="24"/>
          <w:highlight w:val="none"/>
        </w:rPr>
        <w:t xml:space="preserve"> 法定代表人授权代表：</w:t>
      </w:r>
    </w:p>
    <w:p w14:paraId="71D8C350">
      <w:pPr>
        <w:spacing w:before="94" w:line="219" w:lineRule="auto"/>
        <w:ind w:left="2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（供应商公章</w:t>
      </w:r>
      <w:r>
        <w:rPr>
          <w:rFonts w:ascii="宋体" w:hAnsi="宋体" w:eastAsia="宋体" w:cs="宋体"/>
          <w:color w:val="auto"/>
          <w:spacing w:val="-17"/>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签字或盖章）</w:t>
      </w:r>
    </w:p>
    <w:p w14:paraId="7FBC6370">
      <w:pPr>
        <w:pStyle w:val="6"/>
        <w:spacing w:line="257" w:lineRule="auto"/>
        <w:rPr>
          <w:color w:val="auto"/>
          <w:highlight w:val="none"/>
        </w:rPr>
      </w:pPr>
    </w:p>
    <w:p w14:paraId="4BFF60F0">
      <w:pPr>
        <w:pStyle w:val="6"/>
        <w:spacing w:line="257" w:lineRule="auto"/>
        <w:rPr>
          <w:color w:val="auto"/>
          <w:highlight w:val="none"/>
        </w:rPr>
      </w:pPr>
    </w:p>
    <w:p w14:paraId="3D6022AA">
      <w:pPr>
        <w:pStyle w:val="6"/>
        <w:spacing w:line="258" w:lineRule="auto"/>
        <w:rPr>
          <w:color w:val="auto"/>
          <w:highlight w:val="none"/>
        </w:rPr>
      </w:pPr>
    </w:p>
    <w:p w14:paraId="325C5FF4">
      <w:pPr>
        <w:spacing w:before="79" w:line="220" w:lineRule="auto"/>
        <w:ind w:left="586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p w14:paraId="2C07FB2D">
      <w:pPr>
        <w:pStyle w:val="6"/>
        <w:spacing w:line="254" w:lineRule="auto"/>
        <w:rPr>
          <w:color w:val="auto"/>
          <w:highlight w:val="none"/>
        </w:rPr>
      </w:pPr>
    </w:p>
    <w:p w14:paraId="53E93D27">
      <w:pPr>
        <w:pStyle w:val="6"/>
        <w:spacing w:line="254" w:lineRule="auto"/>
        <w:rPr>
          <w:color w:val="auto"/>
          <w:highlight w:val="none"/>
        </w:rPr>
      </w:pPr>
    </w:p>
    <w:p w14:paraId="1A21A3C5">
      <w:pPr>
        <w:pStyle w:val="6"/>
        <w:spacing w:line="254" w:lineRule="auto"/>
        <w:rPr>
          <w:color w:val="auto"/>
          <w:highlight w:val="none"/>
        </w:rPr>
      </w:pPr>
    </w:p>
    <w:p w14:paraId="383E39B7">
      <w:pPr>
        <w:pStyle w:val="6"/>
        <w:spacing w:line="254" w:lineRule="auto"/>
        <w:rPr>
          <w:color w:val="auto"/>
          <w:highlight w:val="none"/>
        </w:rPr>
      </w:pPr>
    </w:p>
    <w:p w14:paraId="02BB7C81">
      <w:pPr>
        <w:pStyle w:val="6"/>
        <w:spacing w:line="255" w:lineRule="auto"/>
        <w:rPr>
          <w:color w:val="auto"/>
          <w:highlight w:val="none"/>
        </w:rPr>
      </w:pPr>
    </w:p>
    <w:p w14:paraId="50273FD3">
      <w:pPr>
        <w:tabs>
          <w:tab w:val="left" w:pos="9412"/>
        </w:tabs>
        <w:spacing w:before="78" w:line="294" w:lineRule="auto"/>
        <w:ind w:left="12"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注：本表必须按照“第四篇 询价项目商务需求</w:t>
      </w:r>
      <w:r>
        <w:rPr>
          <w:rFonts w:ascii="宋体" w:hAnsi="宋体" w:eastAsia="宋体" w:cs="宋体"/>
          <w:color w:val="auto"/>
          <w:spacing w:val="-84"/>
          <w:sz w:val="24"/>
          <w:szCs w:val="24"/>
          <w:highlight w:val="none"/>
        </w:rPr>
        <w:t xml:space="preserve"> </w:t>
      </w:r>
      <w:r>
        <w:rPr>
          <w:rFonts w:ascii="宋体" w:hAnsi="宋体" w:eastAsia="宋体" w:cs="宋体"/>
          <w:color w:val="auto"/>
          <w:spacing w:val="-3"/>
          <w:sz w:val="24"/>
          <w:szCs w:val="24"/>
          <w:highlight w:val="none"/>
        </w:rPr>
        <w:t>”中所列内容逐条进行比较和响应，根</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据响应情况在“差异说明</w:t>
      </w:r>
      <w:r>
        <w:rPr>
          <w:rFonts w:ascii="宋体" w:hAnsi="宋体" w:eastAsia="宋体" w:cs="宋体"/>
          <w:color w:val="auto"/>
          <w:spacing w:val="-73"/>
          <w:sz w:val="24"/>
          <w:szCs w:val="24"/>
          <w:highlight w:val="none"/>
        </w:rPr>
        <w:t xml:space="preserve"> </w:t>
      </w:r>
      <w:r>
        <w:rPr>
          <w:rFonts w:ascii="宋体" w:hAnsi="宋体" w:eastAsia="宋体" w:cs="宋体"/>
          <w:color w:val="auto"/>
          <w:spacing w:val="-5"/>
          <w:sz w:val="24"/>
          <w:szCs w:val="24"/>
          <w:highlight w:val="none"/>
        </w:rPr>
        <w:t>”项填写正偏离或负偏离及原因，完全符合的填写“无差异</w:t>
      </w:r>
      <w:r>
        <w:rPr>
          <w:rFonts w:ascii="宋体" w:hAnsi="宋体" w:eastAsia="宋体" w:cs="宋体"/>
          <w:color w:val="auto"/>
          <w:spacing w:val="-85"/>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none" w:color="auto"/>
        </w:rPr>
        <w:t>。</w:t>
      </w:r>
      <w:r>
        <w:rPr>
          <w:rFonts w:ascii="宋体" w:hAnsi="宋体" w:eastAsia="宋体" w:cs="宋体"/>
          <w:color w:val="auto"/>
          <w:sz w:val="24"/>
          <w:szCs w:val="24"/>
          <w:highlight w:val="none"/>
          <w:u w:val="non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u w:val="single" w:color="auto"/>
        </w:rPr>
        <w:t>未按照规定要求填写的，视为无效响应。</w:t>
      </w:r>
    </w:p>
    <w:p w14:paraId="61176EDE">
      <w:pPr>
        <w:spacing w:line="294" w:lineRule="auto"/>
        <w:rPr>
          <w:rFonts w:ascii="宋体" w:hAnsi="宋体" w:eastAsia="宋体" w:cs="宋体"/>
          <w:color w:val="auto"/>
          <w:sz w:val="24"/>
          <w:szCs w:val="24"/>
          <w:highlight w:val="none"/>
        </w:rPr>
        <w:sectPr>
          <w:footerReference r:id="rId20" w:type="default"/>
          <w:pgSz w:w="11906" w:h="16839"/>
          <w:pgMar w:top="1178" w:right="1190" w:bottom="1222" w:left="1299" w:header="0" w:footer="853" w:gutter="0"/>
          <w:pgNumType w:fmt="decimal"/>
          <w:cols w:space="720" w:num="1"/>
        </w:sectPr>
      </w:pPr>
    </w:p>
    <w:p w14:paraId="7BE766C2">
      <w:pPr>
        <w:spacing w:before="48" w:line="220" w:lineRule="auto"/>
        <w:ind w:left="18"/>
        <w:outlineLvl w:val="9"/>
        <w:rPr>
          <w:rFonts w:ascii="宋体" w:hAnsi="宋体" w:eastAsia="宋体" w:cs="宋体"/>
          <w:color w:val="auto"/>
          <w:sz w:val="24"/>
          <w:szCs w:val="24"/>
          <w:highlight w:val="none"/>
        </w:rPr>
      </w:pPr>
      <w:bookmarkStart w:id="74" w:name="_Toc24875"/>
      <w:r>
        <w:rPr>
          <w:rFonts w:ascii="宋体" w:hAnsi="宋体" w:eastAsia="宋体" w:cs="宋体"/>
          <w:color w:val="auto"/>
          <w:spacing w:val="-2"/>
          <w:sz w:val="24"/>
          <w:szCs w:val="24"/>
          <w:highlight w:val="none"/>
        </w:rPr>
        <w:t>（二）其它优惠承诺（格式自定）</w:t>
      </w:r>
      <w:bookmarkEnd w:id="74"/>
    </w:p>
    <w:p w14:paraId="06C35212">
      <w:pPr>
        <w:pStyle w:val="6"/>
        <w:spacing w:line="394" w:lineRule="auto"/>
        <w:rPr>
          <w:color w:val="auto"/>
          <w:highlight w:val="none"/>
        </w:rPr>
      </w:pPr>
    </w:p>
    <w:p w14:paraId="08E93EAF">
      <w:pPr>
        <w:spacing w:before="78" w:line="224" w:lineRule="auto"/>
        <w:ind w:left="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bookmarkStart w:id="75" w:name="_Toc31637"/>
      <w:r>
        <w:rPr>
          <w:rFonts w:ascii="宋体" w:hAnsi="宋体" w:eastAsia="宋体" w:cs="宋体"/>
          <w:color w:val="auto"/>
          <w:spacing w:val="-2"/>
          <w:sz w:val="24"/>
          <w:szCs w:val="24"/>
          <w:highlight w:val="none"/>
        </w:rPr>
        <w:t>若无其他优惠承诺，可不提供此项。</w:t>
      </w:r>
      <w:bookmarkEnd w:id="75"/>
    </w:p>
    <w:p w14:paraId="259DD913">
      <w:pPr>
        <w:spacing w:line="219" w:lineRule="auto"/>
        <w:rPr>
          <w:rFonts w:ascii="宋体" w:hAnsi="宋体" w:eastAsia="宋体" w:cs="宋体"/>
          <w:color w:val="auto"/>
          <w:sz w:val="24"/>
          <w:szCs w:val="24"/>
          <w:highlight w:val="none"/>
        </w:rPr>
        <w:sectPr>
          <w:footerReference r:id="rId21" w:type="default"/>
          <w:pgSz w:w="11906" w:h="16839"/>
          <w:pgMar w:top="1193" w:right="1785" w:bottom="1222" w:left="1785" w:header="0" w:footer="853" w:gutter="0"/>
          <w:pgNumType w:fmt="decimal"/>
          <w:cols w:space="720" w:num="1"/>
        </w:sectPr>
      </w:pPr>
    </w:p>
    <w:p w14:paraId="121F7052">
      <w:pPr>
        <w:spacing w:before="53" w:line="242" w:lineRule="auto"/>
        <w:ind w:left="498"/>
        <w:outlineLvl w:val="1"/>
        <w:rPr>
          <w:rFonts w:ascii="黑体" w:hAnsi="黑体" w:eastAsia="黑体" w:cs="黑体"/>
          <w:color w:val="auto"/>
          <w:sz w:val="24"/>
          <w:szCs w:val="24"/>
          <w:highlight w:val="none"/>
        </w:rPr>
      </w:pPr>
      <w:bookmarkStart w:id="76" w:name="_Toc31314"/>
      <w:r>
        <w:rPr>
          <w:rFonts w:ascii="黑体" w:hAnsi="黑体" w:eastAsia="黑体" w:cs="黑体"/>
          <w:color w:val="auto"/>
          <w:spacing w:val="-5"/>
          <w:sz w:val="24"/>
          <w:szCs w:val="24"/>
          <w:highlight w:val="none"/>
        </w:rPr>
        <w:t>四、资格文件</w:t>
      </w:r>
      <w:bookmarkEnd w:id="76"/>
    </w:p>
    <w:p w14:paraId="5605B263">
      <w:pPr>
        <w:spacing w:before="122" w:line="219" w:lineRule="auto"/>
        <w:ind w:left="491"/>
        <w:outlineLvl w:val="9"/>
        <w:rPr>
          <w:rFonts w:ascii="宋体" w:hAnsi="宋体" w:eastAsia="宋体" w:cs="宋体"/>
          <w:color w:val="auto"/>
          <w:sz w:val="24"/>
          <w:szCs w:val="24"/>
          <w:highlight w:val="none"/>
        </w:rPr>
      </w:pPr>
      <w:bookmarkStart w:id="77" w:name="_Toc4380"/>
      <w:r>
        <w:rPr>
          <w:rFonts w:ascii="宋体" w:hAnsi="宋体" w:eastAsia="宋体" w:cs="宋体"/>
          <w:color w:val="auto"/>
          <w:spacing w:val="-1"/>
          <w:sz w:val="24"/>
          <w:szCs w:val="24"/>
          <w:highlight w:val="none"/>
        </w:rPr>
        <w:t>（一）营业执照（副本）或事业单位法人证书（副本）复印件</w:t>
      </w:r>
      <w:bookmarkEnd w:id="77"/>
    </w:p>
    <w:p w14:paraId="5A3CBDD5">
      <w:pPr>
        <w:pStyle w:val="6"/>
        <w:spacing w:line="408" w:lineRule="auto"/>
        <w:rPr>
          <w:color w:val="auto"/>
          <w:highlight w:val="none"/>
        </w:rPr>
      </w:pPr>
    </w:p>
    <w:p w14:paraId="5D76A977">
      <w:pPr>
        <w:spacing w:before="78" w:line="293" w:lineRule="auto"/>
        <w:ind w:firstLine="5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说明：供应商按“多证合一</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”登记制度办理营业执照的，以供</w:t>
      </w:r>
      <w:r>
        <w:rPr>
          <w:rFonts w:ascii="宋体" w:hAnsi="宋体" w:eastAsia="宋体" w:cs="宋体"/>
          <w:color w:val="auto"/>
          <w:spacing w:val="-3"/>
          <w:sz w:val="24"/>
          <w:szCs w:val="24"/>
          <w:highlight w:val="none"/>
        </w:rPr>
        <w:t>应商所提供的法人营业</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执照（副本）复印件为准。</w:t>
      </w:r>
    </w:p>
    <w:p w14:paraId="65E9FDC1">
      <w:pPr>
        <w:spacing w:line="293" w:lineRule="auto"/>
        <w:rPr>
          <w:rFonts w:ascii="宋体" w:hAnsi="宋体" w:eastAsia="宋体" w:cs="宋体"/>
          <w:color w:val="auto"/>
          <w:sz w:val="24"/>
          <w:szCs w:val="24"/>
          <w:highlight w:val="none"/>
        </w:rPr>
        <w:sectPr>
          <w:footerReference r:id="rId22" w:type="default"/>
          <w:pgSz w:w="11906" w:h="16839"/>
          <w:pgMar w:top="1178" w:right="1190" w:bottom="1222" w:left="1312" w:header="0" w:footer="853" w:gutter="0"/>
          <w:pgNumType w:fmt="decimal"/>
          <w:cols w:space="720" w:num="1"/>
        </w:sectPr>
      </w:pPr>
    </w:p>
    <w:p w14:paraId="55090664">
      <w:pPr>
        <w:spacing w:before="48" w:line="219" w:lineRule="auto"/>
        <w:ind w:left="480"/>
        <w:outlineLvl w:val="9"/>
        <w:rPr>
          <w:rFonts w:ascii="宋体" w:hAnsi="宋体" w:eastAsia="宋体" w:cs="宋体"/>
          <w:color w:val="auto"/>
          <w:sz w:val="24"/>
          <w:szCs w:val="24"/>
          <w:highlight w:val="none"/>
        </w:rPr>
      </w:pPr>
      <w:bookmarkStart w:id="78" w:name="_Toc23788"/>
      <w:r>
        <w:rPr>
          <w:rFonts w:ascii="宋体" w:hAnsi="宋体" w:eastAsia="宋体" w:cs="宋体"/>
          <w:color w:val="auto"/>
          <w:spacing w:val="-2"/>
          <w:sz w:val="24"/>
          <w:szCs w:val="24"/>
          <w:highlight w:val="none"/>
        </w:rPr>
        <w:t>（二）法定代表人身份证明书（格式）</w:t>
      </w:r>
      <w:bookmarkEnd w:id="78"/>
    </w:p>
    <w:p w14:paraId="0DEBEF5C">
      <w:pPr>
        <w:pStyle w:val="6"/>
        <w:spacing w:line="394" w:lineRule="auto"/>
        <w:rPr>
          <w:color w:val="auto"/>
          <w:highlight w:val="none"/>
        </w:rPr>
      </w:pPr>
    </w:p>
    <w:p w14:paraId="40D2EB3F">
      <w:pPr>
        <w:spacing w:before="78" w:line="221" w:lineRule="auto"/>
        <w:ind w:left="56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578FDB1D">
      <w:pPr>
        <w:pStyle w:val="6"/>
        <w:spacing w:line="391" w:lineRule="auto"/>
        <w:rPr>
          <w:color w:val="auto"/>
          <w:highlight w:val="none"/>
        </w:rPr>
      </w:pPr>
    </w:p>
    <w:p w14:paraId="2B5BA8BA">
      <w:pPr>
        <w:spacing w:before="78" w:line="219" w:lineRule="auto"/>
        <w:ind w:left="55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致</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6"/>
          <w:sz w:val="24"/>
          <w:szCs w:val="24"/>
          <w:highlight w:val="none"/>
        </w:rPr>
        <w:t>采购</w:t>
      </w:r>
      <w:r>
        <w:rPr>
          <w:rFonts w:hint="eastAsia" w:ascii="宋体" w:hAnsi="宋体" w:eastAsia="宋体" w:cs="宋体"/>
          <w:color w:val="auto"/>
          <w:spacing w:val="6"/>
          <w:sz w:val="24"/>
          <w:szCs w:val="24"/>
          <w:highlight w:val="none"/>
          <w:lang w:val="en-US" w:eastAsia="zh-CN"/>
        </w:rPr>
        <w:t>人</w:t>
      </w:r>
      <w:r>
        <w:rPr>
          <w:rFonts w:ascii="宋体" w:hAnsi="宋体" w:eastAsia="宋体" w:cs="宋体"/>
          <w:color w:val="auto"/>
          <w:spacing w:val="6"/>
          <w:sz w:val="24"/>
          <w:szCs w:val="24"/>
          <w:highlight w:val="none"/>
        </w:rPr>
        <w:t>名称</w:t>
      </w:r>
      <w:r>
        <w:rPr>
          <w:rFonts w:ascii="宋体" w:hAnsi="宋体" w:eastAsia="宋体" w:cs="宋体"/>
          <w:color w:val="auto"/>
          <w:spacing w:val="-17"/>
          <w:sz w:val="24"/>
          <w:szCs w:val="24"/>
          <w:highlight w:val="none"/>
        </w:rPr>
        <w:t>）：</w:t>
      </w:r>
    </w:p>
    <w:p w14:paraId="5318018D">
      <w:pPr>
        <w:tabs>
          <w:tab w:val="left" w:pos="2505"/>
        </w:tabs>
        <w:spacing w:before="97" w:line="293" w:lineRule="auto"/>
        <w:ind w:firstLine="705"/>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4"/>
          <w:sz w:val="24"/>
          <w:szCs w:val="24"/>
          <w:highlight w:val="none"/>
        </w:rPr>
        <w:t>（法定代表人姓名）</w:t>
      </w:r>
      <w:r>
        <w:rPr>
          <w:rFonts w:ascii="宋体" w:hAnsi="宋体" w:eastAsia="宋体" w:cs="宋体"/>
          <w:color w:val="auto"/>
          <w:spacing w:val="-48"/>
          <w:sz w:val="24"/>
          <w:szCs w:val="24"/>
          <w:highlight w:val="none"/>
        </w:rPr>
        <w:t xml:space="preserve"> </w:t>
      </w:r>
      <w:r>
        <w:rPr>
          <w:rFonts w:ascii="宋体" w:hAnsi="宋体" w:eastAsia="宋体" w:cs="宋体"/>
          <w:color w:val="auto"/>
          <w:spacing w:val="14"/>
          <w:sz w:val="24"/>
          <w:szCs w:val="24"/>
          <w:highlight w:val="none"/>
        </w:rPr>
        <w:t>在</w:t>
      </w:r>
      <w:r>
        <w:rPr>
          <w:rFonts w:ascii="宋体" w:hAnsi="宋体" w:eastAsia="宋体" w:cs="宋体"/>
          <w:color w:val="auto"/>
          <w:spacing w:val="-91"/>
          <w:sz w:val="24"/>
          <w:szCs w:val="24"/>
          <w:highlight w:val="none"/>
        </w:rPr>
        <w:t xml:space="preserve"> </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4"/>
          <w:sz w:val="24"/>
          <w:szCs w:val="24"/>
          <w:highlight w:val="none"/>
        </w:rPr>
        <w:t>（供应商名称）</w:t>
      </w:r>
      <w:r>
        <w:rPr>
          <w:rFonts w:ascii="宋体" w:hAnsi="宋体" w:eastAsia="宋体" w:cs="宋体"/>
          <w:color w:val="auto"/>
          <w:spacing w:val="-54"/>
          <w:sz w:val="24"/>
          <w:szCs w:val="24"/>
          <w:highlight w:val="none"/>
        </w:rPr>
        <w:t xml:space="preserve"> </w:t>
      </w:r>
      <w:r>
        <w:rPr>
          <w:rFonts w:ascii="宋体" w:hAnsi="宋体" w:eastAsia="宋体" w:cs="宋体"/>
          <w:color w:val="auto"/>
          <w:spacing w:val="14"/>
          <w:sz w:val="24"/>
          <w:szCs w:val="24"/>
          <w:highlight w:val="none"/>
        </w:rPr>
        <w:t>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（职务名称）职务，是</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（供应商名称）的法定代表人。</w:t>
      </w:r>
    </w:p>
    <w:p w14:paraId="10FD07E9">
      <w:pPr>
        <w:pStyle w:val="6"/>
        <w:spacing w:line="297" w:lineRule="auto"/>
        <w:rPr>
          <w:color w:val="auto"/>
          <w:highlight w:val="none"/>
        </w:rPr>
      </w:pPr>
    </w:p>
    <w:p w14:paraId="34BCD5AE">
      <w:pPr>
        <w:spacing w:before="78" w:line="220" w:lineRule="auto"/>
        <w:ind w:left="55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0A91F59A">
      <w:pPr>
        <w:pStyle w:val="6"/>
        <w:spacing w:line="287" w:lineRule="auto"/>
        <w:rPr>
          <w:color w:val="auto"/>
          <w:highlight w:val="none"/>
        </w:rPr>
      </w:pPr>
    </w:p>
    <w:p w14:paraId="186CACBA">
      <w:pPr>
        <w:pStyle w:val="6"/>
        <w:spacing w:line="287" w:lineRule="auto"/>
        <w:rPr>
          <w:color w:val="auto"/>
          <w:highlight w:val="none"/>
        </w:rPr>
      </w:pPr>
    </w:p>
    <w:p w14:paraId="1857FF91">
      <w:pPr>
        <w:pStyle w:val="6"/>
        <w:spacing w:line="287" w:lineRule="auto"/>
        <w:rPr>
          <w:color w:val="auto"/>
          <w:highlight w:val="none"/>
        </w:rPr>
      </w:pPr>
    </w:p>
    <w:p w14:paraId="0DCB62ED">
      <w:pPr>
        <w:pStyle w:val="6"/>
        <w:spacing w:line="287" w:lineRule="auto"/>
        <w:rPr>
          <w:color w:val="auto"/>
          <w:highlight w:val="none"/>
        </w:rPr>
      </w:pPr>
    </w:p>
    <w:p w14:paraId="020C58CE">
      <w:pPr>
        <w:spacing w:before="79" w:line="219" w:lineRule="auto"/>
        <w:ind w:left="597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（供应商公章）</w:t>
      </w:r>
    </w:p>
    <w:p w14:paraId="5BBE610F">
      <w:pPr>
        <w:pStyle w:val="6"/>
        <w:spacing w:line="395" w:lineRule="auto"/>
        <w:rPr>
          <w:color w:val="auto"/>
          <w:highlight w:val="none"/>
        </w:rPr>
      </w:pPr>
    </w:p>
    <w:p w14:paraId="6A9FD3B6">
      <w:pPr>
        <w:spacing w:before="78" w:line="220" w:lineRule="auto"/>
        <w:ind w:left="596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6206048D">
      <w:pPr>
        <w:pStyle w:val="6"/>
        <w:spacing w:line="392" w:lineRule="auto"/>
        <w:rPr>
          <w:color w:val="auto"/>
          <w:highlight w:val="none"/>
        </w:rPr>
      </w:pPr>
    </w:p>
    <w:p w14:paraId="19885EAC">
      <w:pPr>
        <w:spacing w:before="79" w:line="219" w:lineRule="auto"/>
        <w:ind w:left="57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（附：法定代表人身份证正反面复印件）</w:t>
      </w:r>
    </w:p>
    <w:p w14:paraId="40454364">
      <w:pPr>
        <w:spacing w:line="219" w:lineRule="auto"/>
        <w:rPr>
          <w:rFonts w:ascii="宋体" w:hAnsi="宋体" w:eastAsia="宋体" w:cs="宋体"/>
          <w:color w:val="auto"/>
          <w:sz w:val="24"/>
          <w:szCs w:val="24"/>
          <w:highlight w:val="none"/>
        </w:rPr>
        <w:sectPr>
          <w:footerReference r:id="rId23" w:type="default"/>
          <w:pgSz w:w="11906" w:h="16839"/>
          <w:pgMar w:top="1193" w:right="1192" w:bottom="1222" w:left="1324" w:header="0" w:footer="853" w:gutter="0"/>
          <w:pgNumType w:fmt="decimal"/>
          <w:cols w:space="720" w:num="1"/>
        </w:sectPr>
      </w:pPr>
    </w:p>
    <w:p w14:paraId="642E3BDA">
      <w:pPr>
        <w:spacing w:before="48" w:line="219" w:lineRule="auto"/>
        <w:ind w:left="582"/>
        <w:outlineLvl w:val="9"/>
        <w:rPr>
          <w:rFonts w:ascii="宋体" w:hAnsi="宋体" w:eastAsia="宋体" w:cs="宋体"/>
          <w:color w:val="auto"/>
          <w:sz w:val="24"/>
          <w:szCs w:val="24"/>
          <w:highlight w:val="none"/>
        </w:rPr>
      </w:pPr>
      <w:bookmarkStart w:id="79" w:name="_Toc11617"/>
      <w:r>
        <w:rPr>
          <w:rFonts w:ascii="宋体" w:hAnsi="宋体" w:eastAsia="宋体" w:cs="宋体"/>
          <w:color w:val="auto"/>
          <w:spacing w:val="-2"/>
          <w:sz w:val="24"/>
          <w:szCs w:val="24"/>
          <w:highlight w:val="none"/>
        </w:rPr>
        <w:t>（三）法定代表人授权委托书（格式）</w:t>
      </w:r>
      <w:bookmarkEnd w:id="79"/>
    </w:p>
    <w:p w14:paraId="73DDB0CE">
      <w:pPr>
        <w:pStyle w:val="6"/>
        <w:spacing w:line="394" w:lineRule="auto"/>
        <w:rPr>
          <w:color w:val="auto"/>
          <w:highlight w:val="none"/>
        </w:rPr>
      </w:pPr>
    </w:p>
    <w:p w14:paraId="2B4F2651">
      <w:pPr>
        <w:spacing w:before="78" w:line="221"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0CEC78FB">
      <w:pPr>
        <w:pStyle w:val="6"/>
        <w:spacing w:line="391" w:lineRule="auto"/>
        <w:rPr>
          <w:color w:val="auto"/>
          <w:highlight w:val="none"/>
        </w:rPr>
      </w:pPr>
    </w:p>
    <w:p w14:paraId="3DCE6DF8">
      <w:pPr>
        <w:spacing w:before="78" w:line="219" w:lineRule="auto"/>
        <w:ind w:left="48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致</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6"/>
          <w:sz w:val="24"/>
          <w:szCs w:val="24"/>
          <w:highlight w:val="none"/>
        </w:rPr>
        <w:t>采购</w:t>
      </w:r>
      <w:r>
        <w:rPr>
          <w:rFonts w:hint="eastAsia" w:ascii="宋体" w:hAnsi="宋体" w:eastAsia="宋体" w:cs="宋体"/>
          <w:color w:val="auto"/>
          <w:spacing w:val="6"/>
          <w:sz w:val="24"/>
          <w:szCs w:val="24"/>
          <w:highlight w:val="none"/>
          <w:lang w:val="en-US" w:eastAsia="zh-CN"/>
        </w:rPr>
        <w:t>人</w:t>
      </w:r>
      <w:r>
        <w:rPr>
          <w:rFonts w:ascii="宋体" w:hAnsi="宋体" w:eastAsia="宋体" w:cs="宋体"/>
          <w:color w:val="auto"/>
          <w:spacing w:val="6"/>
          <w:sz w:val="24"/>
          <w:szCs w:val="24"/>
          <w:highlight w:val="none"/>
        </w:rPr>
        <w:t>名称</w:t>
      </w:r>
      <w:r>
        <w:rPr>
          <w:rFonts w:ascii="宋体" w:hAnsi="宋体" w:eastAsia="宋体" w:cs="宋体"/>
          <w:color w:val="auto"/>
          <w:spacing w:val="-17"/>
          <w:sz w:val="24"/>
          <w:szCs w:val="24"/>
          <w:highlight w:val="none"/>
        </w:rPr>
        <w:t>）：</w:t>
      </w:r>
    </w:p>
    <w:p w14:paraId="77A83CF8">
      <w:pPr>
        <w:tabs>
          <w:tab w:val="left" w:pos="1550"/>
        </w:tabs>
        <w:spacing w:before="97" w:line="292" w:lineRule="auto"/>
        <w:ind w:firstLine="470"/>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（供应商法定代表人名称）是</w:t>
      </w:r>
      <w:r>
        <w:rPr>
          <w:rFonts w:ascii="宋体" w:hAnsi="宋体" w:eastAsia="宋体" w:cs="宋体"/>
          <w:color w:val="auto"/>
          <w:spacing w:val="1"/>
          <w:sz w:val="24"/>
          <w:szCs w:val="24"/>
          <w:highlight w:val="none"/>
          <w:u w:val="single" w:color="auto"/>
        </w:rPr>
        <w:t xml:space="preserve">           （供应商名称）</w:t>
      </w:r>
      <w:r>
        <w:rPr>
          <w:rFonts w:ascii="宋体" w:hAnsi="宋体" w:eastAsia="宋体" w:cs="宋体"/>
          <w:color w:val="auto"/>
          <w:spacing w:val="1"/>
          <w:sz w:val="24"/>
          <w:szCs w:val="24"/>
          <w:highlight w:val="none"/>
        </w:rPr>
        <w:t>的法定代表人，</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特授权</w:t>
      </w:r>
      <w:r>
        <w:rPr>
          <w:rFonts w:ascii="宋体" w:hAnsi="宋体" w:eastAsia="宋体" w:cs="宋体"/>
          <w:color w:val="auto"/>
          <w:spacing w:val="-117"/>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（被授权人姓名及身份证号码）代表</w:t>
      </w:r>
      <w:r>
        <w:rPr>
          <w:rFonts w:ascii="宋体" w:hAnsi="宋体" w:eastAsia="宋体" w:cs="宋体"/>
          <w:color w:val="auto"/>
          <w:sz w:val="24"/>
          <w:szCs w:val="24"/>
          <w:highlight w:val="none"/>
        </w:rPr>
        <w:t xml:space="preserve">我单位全权办理上述项 </w:t>
      </w:r>
      <w:r>
        <w:rPr>
          <w:rFonts w:ascii="宋体" w:hAnsi="宋体" w:eastAsia="宋体" w:cs="宋体"/>
          <w:color w:val="auto"/>
          <w:spacing w:val="-1"/>
          <w:sz w:val="24"/>
          <w:szCs w:val="24"/>
          <w:highlight w:val="none"/>
        </w:rPr>
        <w:t>目的询价、签约等具体工作，并签署全部有关文件、协议及合同。</w:t>
      </w:r>
    </w:p>
    <w:p w14:paraId="7B8DF84F">
      <w:pPr>
        <w:spacing w:line="220"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我单位对被授权人的签字负全部责任。</w:t>
      </w:r>
    </w:p>
    <w:p w14:paraId="67A00C3B">
      <w:pPr>
        <w:spacing w:before="93" w:line="294" w:lineRule="auto"/>
        <w:ind w:right="2"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在撤消授权的书面通知以前，本授权书一直有效。被授权人在授权书有效期内签署的</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所有文件不因授权的撤消而失效。</w:t>
      </w:r>
    </w:p>
    <w:p w14:paraId="1EAA4E96">
      <w:pPr>
        <w:pStyle w:val="6"/>
        <w:spacing w:line="336" w:lineRule="auto"/>
        <w:rPr>
          <w:color w:val="auto"/>
          <w:highlight w:val="none"/>
        </w:rPr>
      </w:pPr>
    </w:p>
    <w:p w14:paraId="23FCEFD7">
      <w:pPr>
        <w:pStyle w:val="6"/>
        <w:spacing w:line="337" w:lineRule="auto"/>
        <w:rPr>
          <w:color w:val="auto"/>
          <w:highlight w:val="none"/>
        </w:rPr>
      </w:pPr>
    </w:p>
    <w:p w14:paraId="602983A3">
      <w:pPr>
        <w:spacing w:before="78" w:line="219" w:lineRule="auto"/>
        <w:ind w:left="57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供应商法定代表人：</w:t>
      </w:r>
      <w:r>
        <w:rPr>
          <w:rFonts w:ascii="宋体" w:hAnsi="宋体" w:eastAsia="宋体" w:cs="宋体"/>
          <w:color w:val="auto"/>
          <w:spacing w:val="1"/>
          <w:sz w:val="24"/>
          <w:szCs w:val="24"/>
          <w:highlight w:val="none"/>
          <w:u w:val="single" w:color="auto"/>
        </w:rPr>
        <w:t xml:space="preserve">              </w:t>
      </w:r>
    </w:p>
    <w:p w14:paraId="33A588D2">
      <w:pPr>
        <w:spacing w:before="97" w:line="219" w:lineRule="auto"/>
        <w:ind w:left="16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（签字或盖章</w:t>
      </w:r>
      <w:r>
        <w:rPr>
          <w:rFonts w:ascii="宋体" w:hAnsi="宋体" w:eastAsia="宋体" w:cs="宋体"/>
          <w:color w:val="auto"/>
          <w:spacing w:val="-17"/>
          <w:sz w:val="24"/>
          <w:szCs w:val="24"/>
          <w:highlight w:val="none"/>
        </w:rPr>
        <w:t>）</w:t>
      </w:r>
      <w:r>
        <w:rPr>
          <w:rFonts w:ascii="宋体" w:hAnsi="宋体" w:eastAsia="宋体" w:cs="宋体"/>
          <w:color w:val="auto"/>
          <w:spacing w:val="6"/>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签字或盖章）</w:t>
      </w:r>
    </w:p>
    <w:p w14:paraId="4B11B91B">
      <w:pPr>
        <w:pStyle w:val="6"/>
        <w:spacing w:line="257" w:lineRule="auto"/>
        <w:rPr>
          <w:color w:val="auto"/>
          <w:highlight w:val="none"/>
        </w:rPr>
      </w:pPr>
    </w:p>
    <w:p w14:paraId="28486FCB">
      <w:pPr>
        <w:pStyle w:val="6"/>
        <w:spacing w:line="257" w:lineRule="auto"/>
        <w:rPr>
          <w:color w:val="auto"/>
          <w:highlight w:val="none"/>
        </w:rPr>
      </w:pPr>
    </w:p>
    <w:p w14:paraId="2F71850F">
      <w:pPr>
        <w:pStyle w:val="6"/>
        <w:spacing w:line="258" w:lineRule="auto"/>
        <w:rPr>
          <w:color w:val="auto"/>
          <w:highlight w:val="none"/>
        </w:rPr>
      </w:pPr>
    </w:p>
    <w:p w14:paraId="4C1C1E59">
      <w:pPr>
        <w:spacing w:before="79" w:line="219" w:lineRule="auto"/>
        <w:ind w:left="582"/>
        <w:outlineLvl w:val="9"/>
        <w:rPr>
          <w:rFonts w:ascii="宋体" w:hAnsi="宋体" w:eastAsia="宋体" w:cs="宋体"/>
          <w:color w:val="auto"/>
          <w:sz w:val="24"/>
          <w:szCs w:val="24"/>
          <w:highlight w:val="none"/>
        </w:rPr>
      </w:pPr>
      <w:bookmarkStart w:id="80" w:name="_Toc13059"/>
      <w:r>
        <w:rPr>
          <w:rFonts w:ascii="宋体" w:hAnsi="宋体" w:eastAsia="宋体" w:cs="宋体"/>
          <w:color w:val="auto"/>
          <w:spacing w:val="-2"/>
          <w:sz w:val="24"/>
          <w:szCs w:val="24"/>
          <w:highlight w:val="none"/>
        </w:rPr>
        <w:t>（附：被授权人身份证正反面复印件）</w:t>
      </w:r>
      <w:bookmarkEnd w:id="80"/>
    </w:p>
    <w:p w14:paraId="5FB44EBA">
      <w:pPr>
        <w:pStyle w:val="6"/>
        <w:spacing w:line="287" w:lineRule="auto"/>
        <w:rPr>
          <w:color w:val="auto"/>
          <w:highlight w:val="none"/>
        </w:rPr>
      </w:pPr>
    </w:p>
    <w:p w14:paraId="0D361A70">
      <w:pPr>
        <w:pStyle w:val="6"/>
        <w:spacing w:line="287" w:lineRule="auto"/>
        <w:rPr>
          <w:color w:val="auto"/>
          <w:highlight w:val="none"/>
        </w:rPr>
      </w:pPr>
    </w:p>
    <w:p w14:paraId="6040B5DA">
      <w:pPr>
        <w:pStyle w:val="6"/>
        <w:spacing w:line="287" w:lineRule="auto"/>
        <w:rPr>
          <w:color w:val="auto"/>
          <w:highlight w:val="none"/>
        </w:rPr>
      </w:pPr>
    </w:p>
    <w:p w14:paraId="56508379">
      <w:pPr>
        <w:pStyle w:val="6"/>
        <w:spacing w:line="288" w:lineRule="auto"/>
        <w:rPr>
          <w:color w:val="auto"/>
          <w:highlight w:val="none"/>
        </w:rPr>
      </w:pPr>
    </w:p>
    <w:p w14:paraId="401751B8">
      <w:pPr>
        <w:spacing w:before="78" w:line="219" w:lineRule="auto"/>
        <w:ind w:left="72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（供应商公章）</w:t>
      </w:r>
    </w:p>
    <w:p w14:paraId="41D8508E">
      <w:pPr>
        <w:spacing w:before="94" w:line="220" w:lineRule="auto"/>
        <w:ind w:left="773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1D9C294D">
      <w:pPr>
        <w:spacing w:line="220" w:lineRule="auto"/>
        <w:rPr>
          <w:rFonts w:ascii="宋体" w:hAnsi="宋体" w:eastAsia="宋体" w:cs="宋体"/>
          <w:color w:val="auto"/>
          <w:sz w:val="24"/>
          <w:szCs w:val="24"/>
          <w:highlight w:val="none"/>
        </w:rPr>
        <w:sectPr>
          <w:footerReference r:id="rId24" w:type="default"/>
          <w:pgSz w:w="11906" w:h="16839"/>
          <w:pgMar w:top="1193" w:right="1190" w:bottom="1222" w:left="1312" w:header="0" w:footer="853" w:gutter="0"/>
          <w:pgNumType w:fmt="decimal"/>
          <w:cols w:space="720" w:num="1"/>
        </w:sectPr>
      </w:pPr>
    </w:p>
    <w:p w14:paraId="710D1BCF">
      <w:pPr>
        <w:spacing w:before="48" w:line="219" w:lineRule="auto"/>
        <w:ind w:left="421"/>
        <w:outlineLvl w:val="9"/>
        <w:rPr>
          <w:rFonts w:ascii="宋体" w:hAnsi="宋体" w:eastAsia="宋体" w:cs="宋体"/>
          <w:color w:val="auto"/>
          <w:sz w:val="24"/>
          <w:szCs w:val="24"/>
          <w:highlight w:val="none"/>
        </w:rPr>
      </w:pPr>
      <w:bookmarkStart w:id="81" w:name="_Toc17673"/>
      <w:r>
        <w:rPr>
          <w:rFonts w:ascii="宋体" w:hAnsi="宋体" w:eastAsia="宋体" w:cs="宋体"/>
          <w:color w:val="auto"/>
          <w:spacing w:val="-2"/>
          <w:sz w:val="24"/>
          <w:szCs w:val="24"/>
          <w:highlight w:val="none"/>
        </w:rPr>
        <w:t>（四）基本资格条件承诺函</w:t>
      </w:r>
      <w:bookmarkEnd w:id="81"/>
    </w:p>
    <w:p w14:paraId="480BB1B6">
      <w:pPr>
        <w:pStyle w:val="6"/>
        <w:spacing w:line="274" w:lineRule="auto"/>
        <w:rPr>
          <w:color w:val="auto"/>
          <w:highlight w:val="none"/>
        </w:rPr>
      </w:pPr>
    </w:p>
    <w:p w14:paraId="6D4C74B2">
      <w:pPr>
        <w:pStyle w:val="6"/>
        <w:spacing w:line="275" w:lineRule="auto"/>
        <w:rPr>
          <w:color w:val="auto"/>
          <w:highlight w:val="none"/>
        </w:rPr>
      </w:pPr>
    </w:p>
    <w:p w14:paraId="44F68D3B">
      <w:pPr>
        <w:spacing w:before="78" w:line="221"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2E642A0B">
      <w:pPr>
        <w:pStyle w:val="6"/>
        <w:spacing w:line="391" w:lineRule="auto"/>
        <w:rPr>
          <w:color w:val="auto"/>
          <w:highlight w:val="none"/>
        </w:rPr>
      </w:pPr>
    </w:p>
    <w:p w14:paraId="553DD3F3">
      <w:pPr>
        <w:spacing w:before="78" w:line="219" w:lineRule="auto"/>
        <w:ind w:left="48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致</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6"/>
          <w:sz w:val="24"/>
          <w:szCs w:val="24"/>
          <w:highlight w:val="none"/>
        </w:rPr>
        <w:t>采购</w:t>
      </w:r>
      <w:r>
        <w:rPr>
          <w:rFonts w:hint="eastAsia" w:ascii="宋体" w:hAnsi="宋体" w:eastAsia="宋体" w:cs="宋体"/>
          <w:color w:val="auto"/>
          <w:spacing w:val="6"/>
          <w:sz w:val="24"/>
          <w:szCs w:val="24"/>
          <w:highlight w:val="none"/>
          <w:lang w:val="en-US" w:eastAsia="zh-CN"/>
        </w:rPr>
        <w:t>人</w:t>
      </w:r>
      <w:r>
        <w:rPr>
          <w:rFonts w:ascii="宋体" w:hAnsi="宋体" w:eastAsia="宋体" w:cs="宋体"/>
          <w:color w:val="auto"/>
          <w:spacing w:val="6"/>
          <w:sz w:val="24"/>
          <w:szCs w:val="24"/>
          <w:highlight w:val="none"/>
        </w:rPr>
        <w:t>名称</w:t>
      </w:r>
      <w:r>
        <w:rPr>
          <w:rFonts w:ascii="宋体" w:hAnsi="宋体" w:eastAsia="宋体" w:cs="宋体"/>
          <w:color w:val="auto"/>
          <w:spacing w:val="-17"/>
          <w:sz w:val="24"/>
          <w:szCs w:val="24"/>
          <w:highlight w:val="none"/>
        </w:rPr>
        <w:t>）：</w:t>
      </w:r>
    </w:p>
    <w:p w14:paraId="19A6B619">
      <w:pPr>
        <w:tabs>
          <w:tab w:val="left" w:pos="1568"/>
        </w:tabs>
        <w:spacing w:before="207" w:line="219" w:lineRule="auto"/>
        <w:ind w:left="472"/>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2"/>
          <w:sz w:val="24"/>
          <w:szCs w:val="24"/>
          <w:highlight w:val="none"/>
          <w:u w:val="single" w:color="auto"/>
        </w:rPr>
        <w:t>（供应商名称）</w:t>
      </w:r>
      <w:r>
        <w:rPr>
          <w:rFonts w:ascii="宋体" w:hAnsi="宋体" w:eastAsia="宋体" w:cs="宋体"/>
          <w:color w:val="auto"/>
          <w:spacing w:val="-12"/>
          <w:sz w:val="24"/>
          <w:szCs w:val="24"/>
          <w:highlight w:val="none"/>
        </w:rPr>
        <w:t>郑重承诺：</w:t>
      </w:r>
    </w:p>
    <w:p w14:paraId="171D7A7D">
      <w:pPr>
        <w:spacing w:before="236" w:line="340"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1.我方具有良好的商业信誉和健全的财务会计制度，</w:t>
      </w:r>
      <w:r>
        <w:rPr>
          <w:rFonts w:ascii="宋体" w:hAnsi="宋体" w:eastAsia="宋体" w:cs="宋体"/>
          <w:color w:val="auto"/>
          <w:sz w:val="24"/>
          <w:szCs w:val="24"/>
          <w:highlight w:val="none"/>
        </w:rPr>
        <w:t xml:space="preserve">具有履行合同所必需的设备和专 </w:t>
      </w:r>
      <w:r>
        <w:rPr>
          <w:rFonts w:ascii="宋体" w:hAnsi="宋体" w:eastAsia="宋体" w:cs="宋体"/>
          <w:color w:val="auto"/>
          <w:spacing w:val="1"/>
          <w:sz w:val="24"/>
          <w:szCs w:val="24"/>
          <w:highlight w:val="none"/>
        </w:rPr>
        <w:t xml:space="preserve">业技术能力，具有依法缴纳税收和社会保障金的良好记录，参加本项目采购活动前三年内 </w:t>
      </w:r>
      <w:r>
        <w:rPr>
          <w:rFonts w:ascii="宋体" w:hAnsi="宋体" w:eastAsia="宋体" w:cs="宋体"/>
          <w:color w:val="auto"/>
          <w:spacing w:val="-1"/>
          <w:sz w:val="24"/>
          <w:szCs w:val="24"/>
          <w:highlight w:val="none"/>
        </w:rPr>
        <w:t>无重大违法活动记录。</w:t>
      </w:r>
    </w:p>
    <w:p w14:paraId="489A4313">
      <w:pPr>
        <w:spacing w:before="233" w:line="340" w:lineRule="auto"/>
        <w:ind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2.我方未列入在信用中国网站（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4"/>
          <w:szCs w:val="24"/>
          <w:highlight w:val="none"/>
        </w:rPr>
        <w:t>www</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
          <w:sz w:val="24"/>
          <w:szCs w:val="24"/>
          <w:highlight w:val="none"/>
        </w:rPr>
        <w:t>）“失信被执行人”、“重</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大税收违法案件当事人名单”中，也未列入中国政府采购网（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2"/>
          <w:sz w:val="24"/>
          <w:szCs w:val="24"/>
          <w:highlight w:val="none"/>
        </w:rPr>
        <w:t>www.ccgp.gov.cn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）“政府采</w:t>
      </w:r>
      <w:r>
        <w:rPr>
          <w:rFonts w:ascii="宋体" w:hAnsi="宋体" w:eastAsia="宋体" w:cs="宋体"/>
          <w:color w:val="auto"/>
          <w:spacing w:val="18"/>
          <w:sz w:val="24"/>
          <w:szCs w:val="24"/>
          <w:highlight w:val="none"/>
        </w:rPr>
        <w:t xml:space="preserve"> </w:t>
      </w:r>
      <w:r>
        <w:rPr>
          <w:rFonts w:ascii="宋体" w:hAnsi="宋体" w:eastAsia="宋体" w:cs="宋体"/>
          <w:color w:val="auto"/>
          <w:spacing w:val="-3"/>
          <w:sz w:val="24"/>
          <w:szCs w:val="24"/>
          <w:highlight w:val="none"/>
        </w:rPr>
        <w:t>购严重违法失信行为记录名单</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”中。</w:t>
      </w:r>
    </w:p>
    <w:p w14:paraId="401DC074">
      <w:pPr>
        <w:spacing w:before="233" w:line="340" w:lineRule="auto"/>
        <w:ind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3.我方在采购项目评审（评标）环节结束后，随时接受采购人的检查验证，配合提供相关证明材料，证明符合《中华人民共和国政府采购法》规定的供应商基 </w:t>
      </w:r>
      <w:r>
        <w:rPr>
          <w:rFonts w:ascii="宋体" w:hAnsi="宋体" w:eastAsia="宋体" w:cs="宋体"/>
          <w:color w:val="auto"/>
          <w:spacing w:val="-2"/>
          <w:sz w:val="24"/>
          <w:szCs w:val="24"/>
          <w:highlight w:val="none"/>
        </w:rPr>
        <w:t>本资格条件。</w:t>
      </w:r>
    </w:p>
    <w:p w14:paraId="05557EFF">
      <w:pPr>
        <w:spacing w:before="236" w:line="220"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我方对以上承诺负全部法律责任。</w:t>
      </w:r>
    </w:p>
    <w:p w14:paraId="6D04C0E6">
      <w:pPr>
        <w:spacing w:before="234" w:line="220"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77A9DBF3">
      <w:pPr>
        <w:pStyle w:val="6"/>
        <w:spacing w:line="265" w:lineRule="auto"/>
        <w:rPr>
          <w:color w:val="auto"/>
          <w:highlight w:val="none"/>
        </w:rPr>
      </w:pPr>
    </w:p>
    <w:p w14:paraId="606AC0CF">
      <w:pPr>
        <w:pStyle w:val="6"/>
        <w:spacing w:line="266" w:lineRule="auto"/>
        <w:rPr>
          <w:color w:val="auto"/>
          <w:highlight w:val="none"/>
        </w:rPr>
      </w:pPr>
    </w:p>
    <w:p w14:paraId="6DCC40C8">
      <w:pPr>
        <w:pStyle w:val="6"/>
        <w:spacing w:line="266" w:lineRule="auto"/>
        <w:rPr>
          <w:color w:val="auto"/>
          <w:highlight w:val="none"/>
        </w:rPr>
      </w:pPr>
    </w:p>
    <w:p w14:paraId="715E1075">
      <w:pPr>
        <w:spacing w:before="79" w:line="219" w:lineRule="auto"/>
        <w:ind w:left="73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（供应商公章）</w:t>
      </w:r>
    </w:p>
    <w:p w14:paraId="63CD039D">
      <w:pPr>
        <w:spacing w:before="97" w:line="220" w:lineRule="auto"/>
        <w:ind w:left="773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1CC83AF3">
      <w:pPr>
        <w:spacing w:line="220" w:lineRule="auto"/>
        <w:rPr>
          <w:rFonts w:ascii="宋体" w:hAnsi="宋体" w:eastAsia="宋体" w:cs="宋体"/>
          <w:color w:val="auto"/>
          <w:sz w:val="24"/>
          <w:szCs w:val="24"/>
          <w:highlight w:val="none"/>
        </w:rPr>
        <w:sectPr>
          <w:footerReference r:id="rId25" w:type="default"/>
          <w:pgSz w:w="11906" w:h="16839"/>
          <w:pgMar w:top="1292" w:right="1190" w:bottom="1222" w:left="1310" w:header="0" w:footer="853" w:gutter="0"/>
          <w:pgNumType w:fmt="decimal"/>
          <w:cols w:space="720" w:num="1"/>
        </w:sectPr>
      </w:pPr>
    </w:p>
    <w:p w14:paraId="248044D8">
      <w:pPr>
        <w:spacing w:before="47" w:line="219" w:lineRule="auto"/>
        <w:jc w:val="right"/>
        <w:outlineLvl w:val="9"/>
        <w:rPr>
          <w:rFonts w:ascii="宋体" w:hAnsi="宋体" w:eastAsia="宋体" w:cs="宋体"/>
          <w:color w:val="auto"/>
          <w:sz w:val="24"/>
          <w:szCs w:val="24"/>
          <w:highlight w:val="none"/>
        </w:rPr>
      </w:pPr>
      <w:bookmarkStart w:id="82" w:name="_Toc20068"/>
      <w:r>
        <w:rPr>
          <w:rFonts w:ascii="宋体" w:hAnsi="宋体" w:eastAsia="宋体" w:cs="宋体"/>
          <w:color w:val="auto"/>
          <w:spacing w:val="-1"/>
          <w:sz w:val="24"/>
          <w:szCs w:val="24"/>
          <w:highlight w:val="none"/>
        </w:rPr>
        <w:t>（五）特定资格条件证明文件（按询价通知书第一篇第三条第（二</w:t>
      </w:r>
      <w:r>
        <w:rPr>
          <w:rFonts w:ascii="宋体" w:hAnsi="宋体" w:eastAsia="宋体" w:cs="宋体"/>
          <w:color w:val="auto"/>
          <w:spacing w:val="-2"/>
          <w:sz w:val="24"/>
          <w:szCs w:val="24"/>
          <w:highlight w:val="none"/>
        </w:rPr>
        <w:t>）项要求提供）</w:t>
      </w:r>
      <w:bookmarkEnd w:id="82"/>
    </w:p>
    <w:p w14:paraId="5D4360E9">
      <w:pPr>
        <w:spacing w:line="219" w:lineRule="auto"/>
        <w:rPr>
          <w:rFonts w:ascii="宋体" w:hAnsi="宋体" w:eastAsia="宋体" w:cs="宋体"/>
          <w:color w:val="auto"/>
          <w:sz w:val="24"/>
          <w:szCs w:val="24"/>
          <w:highlight w:val="none"/>
        </w:rPr>
        <w:sectPr>
          <w:footerReference r:id="rId26" w:type="default"/>
          <w:pgSz w:w="11906" w:h="16839"/>
          <w:pgMar w:top="1292" w:right="1575" w:bottom="1222" w:left="1732" w:header="0" w:footer="853" w:gutter="0"/>
          <w:pgNumType w:fmt="decimal"/>
          <w:cols w:space="720" w:num="1"/>
        </w:sectPr>
      </w:pPr>
    </w:p>
    <w:p w14:paraId="6B1ECEF6">
      <w:pPr>
        <w:spacing w:before="53" w:line="242" w:lineRule="auto"/>
        <w:ind w:left="9"/>
        <w:outlineLvl w:val="1"/>
        <w:rPr>
          <w:rFonts w:ascii="黑体" w:hAnsi="黑体" w:eastAsia="黑体" w:cs="黑体"/>
          <w:color w:val="auto"/>
          <w:sz w:val="24"/>
          <w:szCs w:val="24"/>
          <w:highlight w:val="none"/>
        </w:rPr>
      </w:pPr>
      <w:bookmarkStart w:id="83" w:name="_Toc15233"/>
      <w:r>
        <w:rPr>
          <w:rFonts w:ascii="黑体" w:hAnsi="黑体" w:eastAsia="黑体" w:cs="黑体"/>
          <w:color w:val="auto"/>
          <w:spacing w:val="-23"/>
          <w:sz w:val="24"/>
          <w:szCs w:val="24"/>
          <w:highlight w:val="none"/>
        </w:rPr>
        <w:t>五、其他应提供的资料</w:t>
      </w:r>
      <w:bookmarkEnd w:id="83"/>
    </w:p>
    <w:p w14:paraId="24B6C9CF">
      <w:pPr>
        <w:spacing w:before="74"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其他与项目有关的资料（自附</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供应商总体情况介绍、其他与本项目有关的资料等。</w:t>
      </w:r>
    </w:p>
    <w:p w14:paraId="223ABFCB">
      <w:pPr>
        <w:pStyle w:val="6"/>
        <w:spacing w:line="242" w:lineRule="auto"/>
        <w:rPr>
          <w:color w:val="auto"/>
          <w:highlight w:val="none"/>
        </w:rPr>
      </w:pPr>
    </w:p>
    <w:p w14:paraId="4903B309">
      <w:pPr>
        <w:pStyle w:val="6"/>
        <w:spacing w:line="242" w:lineRule="auto"/>
        <w:rPr>
          <w:color w:val="auto"/>
          <w:highlight w:val="none"/>
        </w:rPr>
      </w:pPr>
    </w:p>
    <w:p w14:paraId="7C33DE55">
      <w:pPr>
        <w:pStyle w:val="6"/>
        <w:spacing w:line="242" w:lineRule="auto"/>
        <w:rPr>
          <w:color w:val="auto"/>
          <w:highlight w:val="none"/>
        </w:rPr>
      </w:pPr>
    </w:p>
    <w:p w14:paraId="48A8FE32">
      <w:pPr>
        <w:pStyle w:val="6"/>
        <w:spacing w:line="242" w:lineRule="auto"/>
        <w:rPr>
          <w:color w:val="auto"/>
          <w:highlight w:val="none"/>
        </w:rPr>
      </w:pPr>
    </w:p>
    <w:p w14:paraId="4BED2B72">
      <w:pPr>
        <w:pStyle w:val="6"/>
        <w:spacing w:line="242" w:lineRule="auto"/>
        <w:rPr>
          <w:color w:val="auto"/>
          <w:highlight w:val="none"/>
        </w:rPr>
      </w:pPr>
    </w:p>
    <w:p w14:paraId="040927C0">
      <w:pPr>
        <w:pStyle w:val="6"/>
        <w:spacing w:line="242" w:lineRule="auto"/>
        <w:rPr>
          <w:color w:val="auto"/>
          <w:highlight w:val="none"/>
        </w:rPr>
      </w:pPr>
    </w:p>
    <w:p w14:paraId="16D715DF">
      <w:pPr>
        <w:pStyle w:val="6"/>
        <w:spacing w:line="242" w:lineRule="auto"/>
        <w:rPr>
          <w:color w:val="auto"/>
          <w:highlight w:val="none"/>
        </w:rPr>
      </w:pPr>
    </w:p>
    <w:p w14:paraId="30CAE686">
      <w:pPr>
        <w:pStyle w:val="6"/>
        <w:spacing w:line="242" w:lineRule="auto"/>
        <w:rPr>
          <w:color w:val="auto"/>
          <w:highlight w:val="none"/>
        </w:rPr>
      </w:pPr>
    </w:p>
    <w:p w14:paraId="714CCF69">
      <w:pPr>
        <w:pStyle w:val="6"/>
        <w:spacing w:line="242" w:lineRule="auto"/>
        <w:rPr>
          <w:color w:val="auto"/>
          <w:highlight w:val="none"/>
        </w:rPr>
      </w:pPr>
    </w:p>
    <w:p w14:paraId="354719DA">
      <w:pPr>
        <w:pStyle w:val="6"/>
        <w:spacing w:line="242" w:lineRule="auto"/>
        <w:rPr>
          <w:color w:val="auto"/>
          <w:highlight w:val="none"/>
        </w:rPr>
      </w:pPr>
    </w:p>
    <w:p w14:paraId="41760F15">
      <w:pPr>
        <w:pStyle w:val="6"/>
        <w:spacing w:line="242" w:lineRule="auto"/>
        <w:rPr>
          <w:color w:val="auto"/>
          <w:highlight w:val="none"/>
        </w:rPr>
      </w:pPr>
    </w:p>
    <w:p w14:paraId="1798DCA7">
      <w:pPr>
        <w:pStyle w:val="6"/>
        <w:spacing w:line="242" w:lineRule="auto"/>
        <w:rPr>
          <w:color w:val="auto"/>
          <w:highlight w:val="none"/>
        </w:rPr>
      </w:pPr>
    </w:p>
    <w:p w14:paraId="70AAA605">
      <w:pPr>
        <w:pStyle w:val="6"/>
        <w:spacing w:line="242" w:lineRule="auto"/>
        <w:rPr>
          <w:color w:val="auto"/>
          <w:highlight w:val="none"/>
        </w:rPr>
      </w:pPr>
    </w:p>
    <w:p w14:paraId="7A0F8E32">
      <w:pPr>
        <w:pStyle w:val="6"/>
        <w:spacing w:line="242" w:lineRule="auto"/>
        <w:rPr>
          <w:color w:val="auto"/>
          <w:highlight w:val="none"/>
        </w:rPr>
      </w:pPr>
    </w:p>
    <w:p w14:paraId="2F6C9785">
      <w:pPr>
        <w:pStyle w:val="6"/>
        <w:spacing w:line="242" w:lineRule="auto"/>
        <w:rPr>
          <w:color w:val="auto"/>
          <w:highlight w:val="none"/>
        </w:rPr>
      </w:pPr>
    </w:p>
    <w:p w14:paraId="500A80E0">
      <w:pPr>
        <w:pStyle w:val="6"/>
        <w:spacing w:line="242" w:lineRule="auto"/>
        <w:rPr>
          <w:color w:val="auto"/>
          <w:highlight w:val="none"/>
        </w:rPr>
      </w:pPr>
    </w:p>
    <w:p w14:paraId="7EA33CB4">
      <w:pPr>
        <w:pStyle w:val="6"/>
        <w:spacing w:line="242" w:lineRule="auto"/>
        <w:rPr>
          <w:color w:val="auto"/>
          <w:highlight w:val="none"/>
        </w:rPr>
      </w:pPr>
    </w:p>
    <w:p w14:paraId="7C8ABF5F">
      <w:pPr>
        <w:pStyle w:val="6"/>
        <w:spacing w:line="242" w:lineRule="auto"/>
        <w:rPr>
          <w:color w:val="auto"/>
          <w:highlight w:val="none"/>
        </w:rPr>
      </w:pPr>
    </w:p>
    <w:p w14:paraId="15572934">
      <w:pPr>
        <w:pStyle w:val="6"/>
        <w:spacing w:line="242" w:lineRule="auto"/>
        <w:rPr>
          <w:color w:val="auto"/>
          <w:highlight w:val="none"/>
        </w:rPr>
      </w:pPr>
    </w:p>
    <w:p w14:paraId="5B00E3A2">
      <w:pPr>
        <w:pStyle w:val="6"/>
        <w:spacing w:line="242" w:lineRule="auto"/>
        <w:rPr>
          <w:color w:val="auto"/>
          <w:highlight w:val="none"/>
        </w:rPr>
      </w:pPr>
    </w:p>
    <w:p w14:paraId="70BCF877">
      <w:pPr>
        <w:pStyle w:val="6"/>
        <w:spacing w:line="242" w:lineRule="auto"/>
        <w:rPr>
          <w:color w:val="auto"/>
          <w:highlight w:val="none"/>
        </w:rPr>
      </w:pPr>
    </w:p>
    <w:p w14:paraId="25306A3C">
      <w:pPr>
        <w:pStyle w:val="6"/>
        <w:spacing w:line="242" w:lineRule="auto"/>
        <w:rPr>
          <w:color w:val="auto"/>
          <w:highlight w:val="none"/>
        </w:rPr>
      </w:pPr>
    </w:p>
    <w:p w14:paraId="3B2F5CBE">
      <w:pPr>
        <w:pStyle w:val="6"/>
        <w:spacing w:line="242" w:lineRule="auto"/>
        <w:rPr>
          <w:color w:val="auto"/>
          <w:highlight w:val="none"/>
        </w:rPr>
      </w:pPr>
    </w:p>
    <w:p w14:paraId="71E337B0">
      <w:pPr>
        <w:pStyle w:val="6"/>
        <w:spacing w:line="242" w:lineRule="auto"/>
        <w:rPr>
          <w:color w:val="auto"/>
          <w:highlight w:val="none"/>
        </w:rPr>
      </w:pPr>
    </w:p>
    <w:p w14:paraId="09CC7913">
      <w:pPr>
        <w:pStyle w:val="6"/>
        <w:spacing w:line="242" w:lineRule="auto"/>
        <w:rPr>
          <w:color w:val="auto"/>
          <w:highlight w:val="none"/>
        </w:rPr>
      </w:pPr>
    </w:p>
    <w:p w14:paraId="3C5EEFAF">
      <w:pPr>
        <w:pStyle w:val="6"/>
        <w:spacing w:line="242" w:lineRule="auto"/>
        <w:rPr>
          <w:color w:val="auto"/>
          <w:highlight w:val="none"/>
        </w:rPr>
      </w:pPr>
    </w:p>
    <w:p w14:paraId="3489A53A">
      <w:pPr>
        <w:pStyle w:val="6"/>
        <w:spacing w:line="242" w:lineRule="auto"/>
        <w:rPr>
          <w:color w:val="auto"/>
          <w:highlight w:val="none"/>
        </w:rPr>
      </w:pPr>
    </w:p>
    <w:p w14:paraId="1051F32C">
      <w:pPr>
        <w:pStyle w:val="6"/>
        <w:spacing w:line="242" w:lineRule="auto"/>
        <w:rPr>
          <w:color w:val="auto"/>
          <w:highlight w:val="none"/>
        </w:rPr>
      </w:pPr>
    </w:p>
    <w:p w14:paraId="546B0650">
      <w:pPr>
        <w:pStyle w:val="6"/>
        <w:spacing w:line="242" w:lineRule="auto"/>
        <w:rPr>
          <w:color w:val="auto"/>
          <w:highlight w:val="none"/>
        </w:rPr>
      </w:pPr>
    </w:p>
    <w:p w14:paraId="544BFF9F">
      <w:pPr>
        <w:pStyle w:val="6"/>
        <w:spacing w:line="242" w:lineRule="auto"/>
        <w:rPr>
          <w:color w:val="auto"/>
          <w:highlight w:val="none"/>
        </w:rPr>
      </w:pPr>
    </w:p>
    <w:p w14:paraId="53180249">
      <w:pPr>
        <w:pStyle w:val="6"/>
        <w:spacing w:line="242" w:lineRule="auto"/>
        <w:rPr>
          <w:color w:val="auto"/>
          <w:highlight w:val="none"/>
        </w:rPr>
      </w:pPr>
    </w:p>
    <w:p w14:paraId="09B82C14">
      <w:pPr>
        <w:pStyle w:val="6"/>
        <w:spacing w:line="242" w:lineRule="auto"/>
        <w:rPr>
          <w:color w:val="auto"/>
          <w:highlight w:val="none"/>
        </w:rPr>
      </w:pPr>
    </w:p>
    <w:p w14:paraId="5B4DBCF1">
      <w:pPr>
        <w:pStyle w:val="6"/>
        <w:spacing w:line="242" w:lineRule="auto"/>
        <w:rPr>
          <w:color w:val="auto"/>
          <w:highlight w:val="none"/>
        </w:rPr>
      </w:pPr>
    </w:p>
    <w:p w14:paraId="44BE1212">
      <w:pPr>
        <w:pStyle w:val="6"/>
        <w:spacing w:line="242" w:lineRule="auto"/>
        <w:rPr>
          <w:color w:val="auto"/>
          <w:highlight w:val="none"/>
        </w:rPr>
      </w:pPr>
    </w:p>
    <w:p w14:paraId="25805670">
      <w:pPr>
        <w:pStyle w:val="6"/>
        <w:spacing w:line="242" w:lineRule="auto"/>
        <w:rPr>
          <w:color w:val="auto"/>
          <w:highlight w:val="none"/>
        </w:rPr>
      </w:pPr>
    </w:p>
    <w:p w14:paraId="61E0D62A">
      <w:pPr>
        <w:pStyle w:val="6"/>
        <w:spacing w:line="242" w:lineRule="auto"/>
        <w:rPr>
          <w:color w:val="auto"/>
          <w:highlight w:val="none"/>
        </w:rPr>
      </w:pPr>
    </w:p>
    <w:p w14:paraId="11949463">
      <w:pPr>
        <w:pStyle w:val="6"/>
        <w:spacing w:line="242" w:lineRule="auto"/>
        <w:rPr>
          <w:color w:val="auto"/>
          <w:highlight w:val="none"/>
        </w:rPr>
      </w:pPr>
    </w:p>
    <w:p w14:paraId="192129A2">
      <w:pPr>
        <w:pStyle w:val="6"/>
        <w:spacing w:line="242" w:lineRule="auto"/>
        <w:rPr>
          <w:color w:val="auto"/>
          <w:highlight w:val="none"/>
        </w:rPr>
      </w:pPr>
    </w:p>
    <w:p w14:paraId="58566021">
      <w:pPr>
        <w:pStyle w:val="6"/>
        <w:spacing w:line="242" w:lineRule="auto"/>
        <w:rPr>
          <w:color w:val="auto"/>
          <w:highlight w:val="none"/>
        </w:rPr>
      </w:pPr>
    </w:p>
    <w:p w14:paraId="0684314E">
      <w:pPr>
        <w:pStyle w:val="6"/>
        <w:spacing w:line="242" w:lineRule="auto"/>
        <w:rPr>
          <w:color w:val="auto"/>
          <w:highlight w:val="none"/>
        </w:rPr>
      </w:pPr>
    </w:p>
    <w:p w14:paraId="7B7095B1">
      <w:pPr>
        <w:pStyle w:val="6"/>
        <w:spacing w:line="242" w:lineRule="auto"/>
        <w:rPr>
          <w:color w:val="auto"/>
          <w:highlight w:val="none"/>
        </w:rPr>
      </w:pPr>
    </w:p>
    <w:p w14:paraId="3FD0F684">
      <w:pPr>
        <w:pStyle w:val="6"/>
        <w:spacing w:line="242" w:lineRule="auto"/>
        <w:rPr>
          <w:color w:val="auto"/>
          <w:highlight w:val="none"/>
        </w:rPr>
      </w:pPr>
    </w:p>
    <w:p w14:paraId="264E0963">
      <w:pPr>
        <w:pStyle w:val="6"/>
        <w:spacing w:line="242" w:lineRule="auto"/>
        <w:rPr>
          <w:color w:val="auto"/>
          <w:highlight w:val="none"/>
        </w:rPr>
      </w:pPr>
    </w:p>
    <w:p w14:paraId="279006EE">
      <w:pPr>
        <w:pStyle w:val="6"/>
        <w:spacing w:line="242" w:lineRule="auto"/>
        <w:rPr>
          <w:color w:val="auto"/>
          <w:highlight w:val="none"/>
        </w:rPr>
      </w:pPr>
    </w:p>
    <w:p w14:paraId="7E10C70B">
      <w:pPr>
        <w:pStyle w:val="6"/>
        <w:spacing w:line="242" w:lineRule="auto"/>
        <w:rPr>
          <w:color w:val="auto"/>
          <w:highlight w:val="none"/>
        </w:rPr>
      </w:pPr>
    </w:p>
    <w:p w14:paraId="7B8C705C">
      <w:pPr>
        <w:pStyle w:val="6"/>
        <w:spacing w:line="242" w:lineRule="auto"/>
        <w:rPr>
          <w:color w:val="auto"/>
          <w:highlight w:val="none"/>
        </w:rPr>
      </w:pPr>
    </w:p>
    <w:p w14:paraId="4086C9C4">
      <w:pPr>
        <w:pStyle w:val="6"/>
        <w:spacing w:line="242" w:lineRule="auto"/>
        <w:rPr>
          <w:color w:val="auto"/>
          <w:highlight w:val="none"/>
        </w:rPr>
      </w:pPr>
    </w:p>
    <w:p w14:paraId="08C0EE56">
      <w:pPr>
        <w:pStyle w:val="6"/>
        <w:spacing w:line="242" w:lineRule="auto"/>
        <w:rPr>
          <w:color w:val="auto"/>
          <w:highlight w:val="none"/>
        </w:rPr>
      </w:pPr>
    </w:p>
    <w:p w14:paraId="394ABF89">
      <w:pPr>
        <w:pStyle w:val="6"/>
        <w:spacing w:line="243" w:lineRule="auto"/>
        <w:rPr>
          <w:color w:val="auto"/>
          <w:highlight w:val="none"/>
        </w:rPr>
      </w:pPr>
    </w:p>
    <w:p w14:paraId="67A06F56">
      <w:pPr>
        <w:pStyle w:val="6"/>
        <w:spacing w:line="243" w:lineRule="auto"/>
        <w:rPr>
          <w:color w:val="auto"/>
          <w:highlight w:val="none"/>
        </w:rPr>
      </w:pPr>
    </w:p>
    <w:p w14:paraId="24412566">
      <w:pPr>
        <w:spacing w:before="78" w:line="220" w:lineRule="auto"/>
        <w:ind w:left="400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（结束）</w:t>
      </w:r>
    </w:p>
    <w:sectPr>
      <w:footerReference r:id="rId27" w:type="default"/>
      <w:pgSz w:w="11906" w:h="16839"/>
      <w:pgMar w:top="1178" w:right="1108" w:bottom="1222" w:left="1785"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B6D4">
    <w:pPr>
      <w:spacing w:line="358" w:lineRule="exact"/>
      <w:ind w:left="400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66C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066C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AD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FB2CB">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7FB2CB">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D1C4">
    <w:pPr>
      <w:spacing w:line="358" w:lineRule="exact"/>
      <w:jc w:val="center"/>
      <w:rPr>
        <w:rFonts w:hint="eastAsia"/>
        <w:lang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CA2AA">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CCA2AA">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3D0E">
    <w:pPr>
      <w:spacing w:line="358" w:lineRule="exact"/>
      <w:ind w:left="43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7AAA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B7AAA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94D2">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ED95F">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3ED95F">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C92">
    <w:pPr>
      <w:spacing w:line="358" w:lineRule="exact"/>
      <w:ind w:left="44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32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F8328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096">
    <w:pPr>
      <w:spacing w:line="358" w:lineRule="exact"/>
      <w:ind w:left="44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C2A3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9C2A3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D2B">
    <w:pPr>
      <w:spacing w:line="358" w:lineRule="exact"/>
      <w:ind w:left="441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544D0">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A544D0">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469D">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2CC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312CC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E52F">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AA57A">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45AA57A">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BE4C">
    <w:pPr>
      <w:spacing w:line="358" w:lineRule="exact"/>
      <w:ind w:left="43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75D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3D75D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AFC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B935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B935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7BB">
    <w:pPr>
      <w:spacing w:line="358" w:lineRule="exact"/>
      <w:ind w:left="440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661B0">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4661B0">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D9BD">
    <w:pPr>
      <w:spacing w:line="358" w:lineRule="exact"/>
      <w:ind w:left="440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83D6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083D6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5F8">
    <w:pPr>
      <w:spacing w:line="358" w:lineRule="exact"/>
      <w:ind w:left="398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D083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FD083B">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3FE">
    <w:pPr>
      <w:spacing w:line="358" w:lineRule="exact"/>
      <w:ind w:left="393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F2F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E7F2F5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F38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031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1031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D449">
    <w:pPr>
      <w:spacing w:line="178" w:lineRule="auto"/>
      <w:ind w:left="44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DA97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CDA97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9"/>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3C9B">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A59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2A59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318F">
    <w:pPr>
      <w:spacing w:line="178" w:lineRule="auto"/>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1E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D41EB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CFD7">
    <w:pPr>
      <w:spacing w:line="358" w:lineRule="exact"/>
      <w:ind w:left="4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43CA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43CA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1567C">
    <w:pPr>
      <w:spacing w:line="358" w:lineRule="exact"/>
      <w:ind w:left="44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C33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6C33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5AFA">
    <w:pPr>
      <w:spacing w:line="358" w:lineRule="exact"/>
      <w:ind w:left="440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64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BB64E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EEA7C"/>
    <w:multiLevelType w:val="singleLevel"/>
    <w:tmpl w:val="36AEEA7C"/>
    <w:lvl w:ilvl="0" w:tentative="0">
      <w:start w:val="5"/>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EC10AD"/>
    <w:rsid w:val="0C1B0C7D"/>
    <w:rsid w:val="0DBF43BA"/>
    <w:rsid w:val="1BA71FC6"/>
    <w:rsid w:val="1BC55967"/>
    <w:rsid w:val="26356A3F"/>
    <w:rsid w:val="26880AA8"/>
    <w:rsid w:val="2AC46131"/>
    <w:rsid w:val="32063667"/>
    <w:rsid w:val="34456D13"/>
    <w:rsid w:val="35C143A1"/>
    <w:rsid w:val="40F17018"/>
    <w:rsid w:val="42E609F7"/>
    <w:rsid w:val="44545E6E"/>
    <w:rsid w:val="45CF4C28"/>
    <w:rsid w:val="46D277C0"/>
    <w:rsid w:val="4BC812F3"/>
    <w:rsid w:val="521204A8"/>
    <w:rsid w:val="5AC468CD"/>
    <w:rsid w:val="5BA1600E"/>
    <w:rsid w:val="5C7F3150"/>
    <w:rsid w:val="5E36363E"/>
    <w:rsid w:val="62AC5D0D"/>
    <w:rsid w:val="6A433F3A"/>
    <w:rsid w:val="76635E67"/>
    <w:rsid w:val="773E3200"/>
    <w:rsid w:val="79761752"/>
    <w:rsid w:val="7BE74CFC"/>
    <w:rsid w:val="7C3C0B44"/>
    <w:rsid w:val="7E030DBF"/>
    <w:rsid w:val="7EE45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WPSOffice手动目录 1"/>
    <w:qFormat/>
    <w:uiPriority w:val="0"/>
    <w:pPr>
      <w:ind w:leftChars="0"/>
    </w:pPr>
    <w:rPr>
      <w:rFonts w:ascii="Arial" w:hAnsi="Arial" w:eastAsia="Arial" w:cs="Arial"/>
      <w:sz w:val="20"/>
      <w:szCs w:val="20"/>
    </w:rPr>
  </w:style>
  <w:style w:type="paragraph" w:customStyle="1" w:styleId="15">
    <w:name w:val="WPSOffice手动目录 2"/>
    <w:qFormat/>
    <w:uiPriority w:val="0"/>
    <w:pPr>
      <w:ind w:leftChars="200"/>
    </w:pPr>
    <w:rPr>
      <w:rFonts w:ascii="Arial" w:hAnsi="Arial" w:eastAsia="Arial" w:cs="Arial"/>
      <w:sz w:val="20"/>
      <w:szCs w:val="20"/>
    </w:rPr>
  </w:style>
  <w:style w:type="paragraph" w:customStyle="1" w:styleId="16">
    <w:name w:val="WPSOffice手动目录 3"/>
    <w:qFormat/>
    <w:uiPriority w:val="0"/>
    <w:pPr>
      <w:ind w:leftChars="400"/>
    </w:pPr>
    <w:rPr>
      <w:rFonts w:ascii="Arial" w:hAnsi="Arial" w:eastAsia="Arial" w:cs="Arial"/>
      <w:sz w:val="20"/>
      <w:szCs w:val="20"/>
    </w:rPr>
  </w:style>
  <w:style w:type="paragraph" w:customStyle="1" w:styleId="17">
    <w:name w:val="无间隔2"/>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9655</Words>
  <Characters>10007</Characters>
  <TotalTime>5</TotalTime>
  <ScaleCrop>false</ScaleCrop>
  <LinksUpToDate>false</LinksUpToDate>
  <CharactersWithSpaces>11041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TωT</cp:lastModifiedBy>
  <dcterms:modified xsi:type="dcterms:W3CDTF">2025-04-28T10:20:38Z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eyJoZGlkIjoiN2RhZTZiY2QyZGYzZjhmNGQ0MGEwYTI2MjAzNmQ3NzAiLCJ1c2VySWQiOiIyMzUxMzM1NTQifQ==</vt:lpwstr>
  </property>
  <property fmtid="{D5CDD505-2E9C-101B-9397-08002B2CF9AE}" pid="5" name="KSOProductBuildVer">
    <vt:lpwstr>2052-12.1.0.20784</vt:lpwstr>
  </property>
  <property fmtid="{D5CDD505-2E9C-101B-9397-08002B2CF9AE}" pid="6" name="ICV">
    <vt:lpwstr>15A2C459964B49BFA4D7C755CB054231_13</vt:lpwstr>
  </property>
</Properties>
</file>