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rPr>
        <w:t>询价通知书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（编号：CQIP-20250</w:t>
      </w:r>
      <w:r>
        <w:rPr>
          <w:rFonts w:hint="eastAsia" w:ascii="仿宋" w:hAnsi="仿宋" w:eastAsia="仿宋" w:cs="仿宋"/>
          <w:b w:val="0"/>
          <w:bCs w:val="0"/>
          <w:i w:val="0"/>
          <w:iCs w:val="0"/>
          <w:color w:val="auto"/>
          <w:kern w:val="0"/>
          <w:sz w:val="28"/>
          <w:szCs w:val="28"/>
          <w:shd w:val="clear" w:color="auto" w:fill="auto"/>
          <w:lang w:val="en-US" w:eastAsia="zh-CN"/>
        </w:rPr>
        <w:t>808</w:t>
      </w:r>
      <w:r>
        <w:rPr>
          <w:rFonts w:hint="eastAsia" w:ascii="仿宋" w:hAnsi="仿宋" w:eastAsia="仿宋" w:cs="仿宋"/>
          <w:b w:val="0"/>
          <w:bCs w:val="0"/>
          <w:i w:val="0"/>
          <w:iCs w:val="0"/>
          <w:color w:val="auto"/>
          <w:kern w:val="0"/>
          <w:sz w:val="28"/>
          <w:szCs w:val="28"/>
          <w:shd w:val="clear" w:color="auto" w:fill="auto"/>
        </w:rPr>
        <w:t>0</w:t>
      </w:r>
      <w:r>
        <w:rPr>
          <w:rFonts w:hint="eastAsia" w:ascii="仿宋" w:hAnsi="仿宋" w:eastAsia="仿宋" w:cs="仿宋"/>
          <w:b w:val="0"/>
          <w:bCs w:val="0"/>
          <w:i w:val="0"/>
          <w:iCs w:val="0"/>
          <w:color w:val="auto"/>
          <w:kern w:val="0"/>
          <w:sz w:val="28"/>
          <w:szCs w:val="28"/>
          <w:shd w:val="clear" w:color="auto" w:fill="auto"/>
          <w:lang w:val="en-US" w:eastAsia="zh-CN"/>
        </w:rPr>
        <w:t>1</w:t>
      </w:r>
      <w:r>
        <w:rPr>
          <w:rFonts w:hint="eastAsia" w:ascii="仿宋" w:hAnsi="仿宋" w:eastAsia="仿宋" w:cs="仿宋"/>
          <w:b w:val="0"/>
          <w:bCs w:val="0"/>
          <w:i w:val="0"/>
          <w:iCs w:val="0"/>
          <w:color w:val="auto"/>
          <w:kern w:val="0"/>
          <w:sz w:val="28"/>
          <w:szCs w:val="28"/>
          <w:shd w:val="clear" w:color="auto" w:fill="auto"/>
        </w:rPr>
        <w:t>）</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063EF8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0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lang w:eastAsia="zh-CN"/>
        </w:rPr>
      </w:pP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lang w:eastAsia="zh-CN"/>
        </w:rPr>
        <w:t>国际楼二楼多功能会议室屋面加装铝板改造工程</w:t>
      </w: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022" w:firstLineChars="632"/>
        <w:jc w:val="both"/>
        <w:textAlignment w:val="baseline"/>
        <w:outlineLvl w:val="9"/>
        <w:rPr>
          <w:rFonts w:hint="eastAsia" w:ascii="微软雅黑" w:hAnsi="微软雅黑" w:eastAsia="微软雅黑" w:cs="微软雅黑"/>
          <w:b/>
          <w:bCs/>
          <w:i w:val="0"/>
          <w:iCs w:val="0"/>
          <w:color w:val="auto"/>
          <w:kern w:val="0"/>
          <w:sz w:val="32"/>
          <w:szCs w:val="32"/>
          <w:shd w:val="clear" w:color="auto" w:fill="auto"/>
          <w:lang w:val="en-US" w:eastAsia="zh-CN"/>
        </w:rPr>
      </w:pPr>
      <w:r>
        <w:rPr>
          <w:rFonts w:hint="eastAsia" w:ascii="微软雅黑" w:hAnsi="微软雅黑" w:eastAsia="微软雅黑" w:cs="微软雅黑"/>
          <w:b w:val="0"/>
          <w:bCs w:val="0"/>
          <w:i w:val="0"/>
          <w:iCs w:val="0"/>
          <w:color w:val="auto"/>
          <w:kern w:val="0"/>
          <w:sz w:val="32"/>
          <w:szCs w:val="32"/>
          <w:shd w:val="clear" w:color="auto" w:fill="auto"/>
          <w:lang w:eastAsia="zh-CN"/>
        </w:rPr>
        <w:t>（</w:t>
      </w:r>
      <w:r>
        <w:rPr>
          <w:rFonts w:hint="eastAsia" w:ascii="微软雅黑" w:hAnsi="微软雅黑" w:eastAsia="微软雅黑" w:cs="微软雅黑"/>
          <w:b w:val="0"/>
          <w:bCs w:val="0"/>
          <w:i w:val="0"/>
          <w:iCs w:val="0"/>
          <w:color w:val="auto"/>
          <w:kern w:val="0"/>
          <w:sz w:val="32"/>
          <w:szCs w:val="32"/>
          <w:shd w:val="clear" w:color="auto" w:fill="auto"/>
          <w:lang w:val="en-US" w:eastAsia="zh-CN"/>
        </w:rPr>
        <w:t>重新招标</w:t>
      </w:r>
      <w:r>
        <w:rPr>
          <w:rFonts w:hint="eastAsia" w:ascii="微软雅黑" w:hAnsi="微软雅黑" w:eastAsia="微软雅黑" w:cs="微软雅黑"/>
          <w:b w:val="0"/>
          <w:bCs w:val="0"/>
          <w:i w:val="0"/>
          <w:iCs w:val="0"/>
          <w:color w:val="auto"/>
          <w:kern w:val="0"/>
          <w:sz w:val="32"/>
          <w:szCs w:val="32"/>
          <w:shd w:val="clear" w:color="auto" w:fill="auto"/>
          <w:lang w:eastAsia="zh-CN"/>
        </w:rPr>
        <w:t>）</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八</w:t>
      </w:r>
      <w:r>
        <w:rPr>
          <w:rFonts w:hint="eastAsia" w:ascii="微软雅黑" w:hAnsi="微软雅黑" w:eastAsia="微软雅黑" w:cs="微软雅黑"/>
          <w:b w:val="0"/>
          <w:bCs w:val="0"/>
          <w:i w:val="0"/>
          <w:iCs w:val="0"/>
          <w:color w:val="auto"/>
          <w:kern w:val="0"/>
          <w:sz w:val="36"/>
          <w:szCs w:val="36"/>
          <w:shd w:val="clear" w:color="auto" w:fill="auto"/>
        </w:rPr>
        <w:t>月</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bCs/>
          <w:sz w:val="24"/>
          <w:szCs w:val="24"/>
        </w:rPr>
      </w:pPr>
      <w:r>
        <w:rPr>
          <w:rFonts w:hint="eastAsia"/>
          <w:b/>
          <w:bCs/>
          <w:sz w:val="24"/>
          <w:szCs w:val="24"/>
        </w:rPr>
        <w:t>一</w:t>
      </w:r>
      <w:r>
        <w:rPr>
          <w:rFonts w:hint="eastAsia" w:eastAsia="宋体"/>
          <w:b/>
          <w:bCs/>
          <w:sz w:val="24"/>
          <w:szCs w:val="24"/>
          <w:lang w:eastAsia="zh-CN"/>
        </w:rPr>
        <w:t>、</w:t>
      </w:r>
      <w:r>
        <w:rPr>
          <w:rFonts w:hint="eastAsia"/>
          <w:b/>
          <w:bCs/>
          <w:sz w:val="24"/>
          <w:szCs w:val="24"/>
        </w:rPr>
        <w:t xml:space="preserve"> 工程概况</w:t>
      </w:r>
    </w:p>
    <w:p w14:paraId="2B5DAD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sz w:val="24"/>
          <w:szCs w:val="24"/>
          <w:lang w:val="en-US" w:eastAsia="zh-CN"/>
        </w:rPr>
      </w:pPr>
      <w:r>
        <w:rPr>
          <w:rFonts w:hint="eastAsia"/>
          <w:sz w:val="24"/>
          <w:szCs w:val="24"/>
        </w:rPr>
        <w:t>1.1、工程名称：重庆理工职业学院国际楼二楼多功能会议室屋面加装铝板</w:t>
      </w:r>
      <w:r>
        <w:rPr>
          <w:rFonts w:hint="eastAsia" w:eastAsia="宋体"/>
          <w:sz w:val="24"/>
          <w:szCs w:val="24"/>
          <w:lang w:val="en-US" w:eastAsia="zh-CN"/>
        </w:rPr>
        <w:t>改造工程</w:t>
      </w:r>
    </w:p>
    <w:p w14:paraId="5B68B7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1680" w:firstLineChars="700"/>
        <w:textAlignment w:val="baseline"/>
        <w:rPr>
          <w:rFonts w:hint="default" w:eastAsia="宋体"/>
          <w:sz w:val="24"/>
          <w:szCs w:val="24"/>
          <w:lang w:val="en-US" w:eastAsia="zh-CN"/>
        </w:rPr>
      </w:pPr>
      <w:r>
        <w:rPr>
          <w:rFonts w:hint="eastAsia" w:eastAsia="宋体"/>
          <w:sz w:val="24"/>
          <w:szCs w:val="24"/>
          <w:lang w:val="en-US" w:eastAsia="zh-CN"/>
        </w:rPr>
        <w:t>（重新招标）</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sz w:val="24"/>
          <w:szCs w:val="24"/>
        </w:rPr>
        <w:t>1.2、工程地点：重庆市巴南区东城大道588号</w:t>
      </w:r>
    </w:p>
    <w:p w14:paraId="5D28BB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color w:val="auto"/>
          <w:sz w:val="24"/>
          <w:szCs w:val="24"/>
          <w:lang w:val="en-US" w:eastAsia="zh-CN"/>
        </w:rPr>
      </w:pPr>
      <w:r>
        <w:rPr>
          <w:rFonts w:hint="eastAsia"/>
          <w:sz w:val="24"/>
          <w:szCs w:val="24"/>
        </w:rPr>
        <w:t>1.3、工程施工范围：国际楼二楼多功能会议室屋顶为漆面铁皮彩钢瓦，从建成至今已有近10</w:t>
      </w:r>
      <w:r>
        <w:rPr>
          <w:rFonts w:hint="eastAsia"/>
          <w:color w:val="auto"/>
          <w:sz w:val="24"/>
          <w:szCs w:val="24"/>
        </w:rPr>
        <w:t>年，因年久变形氧化等原因多处漏水，已将装饰石膏板顶造成破坏，</w:t>
      </w:r>
      <w:r>
        <w:rPr>
          <w:rFonts w:hint="eastAsia" w:eastAsia="宋体"/>
          <w:color w:val="auto"/>
          <w:sz w:val="24"/>
          <w:szCs w:val="24"/>
          <w:lang w:val="en-US" w:eastAsia="zh-CN"/>
        </w:rPr>
        <w:t>现</w:t>
      </w:r>
      <w:r>
        <w:rPr>
          <w:rFonts w:hint="eastAsia"/>
          <w:color w:val="auto"/>
          <w:sz w:val="24"/>
          <w:szCs w:val="24"/>
        </w:rPr>
        <w:t>需加装铝板</w:t>
      </w:r>
      <w:r>
        <w:rPr>
          <w:rFonts w:hint="eastAsia" w:eastAsia="宋体"/>
          <w:color w:val="auto"/>
          <w:sz w:val="24"/>
          <w:szCs w:val="24"/>
          <w:lang w:val="en-US" w:eastAsia="zh-CN"/>
        </w:rPr>
        <w:t>对原屋面</w:t>
      </w:r>
      <w:r>
        <w:rPr>
          <w:rFonts w:hint="eastAsia"/>
          <w:color w:val="auto"/>
          <w:sz w:val="24"/>
          <w:szCs w:val="24"/>
          <w:lang w:val="en-US" w:eastAsia="zh-CN"/>
        </w:rPr>
        <w:t>进行维修改造，工程总量约为1000㎡。</w:t>
      </w:r>
    </w:p>
    <w:p w14:paraId="202BF7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bCs/>
          <w:color w:val="auto"/>
          <w:sz w:val="24"/>
          <w:szCs w:val="24"/>
        </w:rPr>
      </w:pPr>
      <w:r>
        <w:rPr>
          <w:rFonts w:hint="eastAsia"/>
          <w:b/>
          <w:bCs/>
          <w:color w:val="auto"/>
          <w:sz w:val="24"/>
          <w:szCs w:val="24"/>
        </w:rPr>
        <w:t>二</w:t>
      </w:r>
      <w:r>
        <w:rPr>
          <w:rFonts w:hint="eastAsia"/>
          <w:b/>
          <w:bCs/>
          <w:color w:val="auto"/>
          <w:sz w:val="24"/>
          <w:szCs w:val="24"/>
          <w:lang w:eastAsia="zh-CN"/>
        </w:rPr>
        <w:t>、</w:t>
      </w:r>
      <w:r>
        <w:rPr>
          <w:rFonts w:hint="eastAsia" w:eastAsia="宋体"/>
          <w:b/>
          <w:bCs/>
          <w:color w:val="auto"/>
          <w:sz w:val="24"/>
          <w:szCs w:val="24"/>
          <w:lang w:val="en-US" w:eastAsia="zh-CN"/>
        </w:rPr>
        <w:t>供应商</w:t>
      </w:r>
      <w:r>
        <w:rPr>
          <w:rFonts w:hint="eastAsia"/>
          <w:b/>
          <w:bCs/>
          <w:color w:val="auto"/>
          <w:sz w:val="24"/>
          <w:szCs w:val="24"/>
        </w:rPr>
        <w:t>资格要求：</w:t>
      </w:r>
      <w:bookmarkStart w:id="0" w:name="_GoBack"/>
      <w:bookmarkEnd w:id="0"/>
    </w:p>
    <w:p w14:paraId="468127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2.1.具备有效的营业执照，且经营范围包含与本工程相关的钢材销售、金属材料销售、建筑材料销售或装饰材料销售等内容；</w:t>
      </w:r>
    </w:p>
    <w:p w14:paraId="0627C4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2.2.必须提供符合本工程施工要求的安装单位资质，该安装单位资质必须具备钢结构工程专业承包三级及以上；</w:t>
      </w:r>
    </w:p>
    <w:p w14:paraId="4DF3B9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2.3.供应商需对所委托的安装施工单位的工程质量、施工安全及质保责任承担全部责任。</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bCs/>
          <w:sz w:val="24"/>
          <w:szCs w:val="24"/>
        </w:rPr>
      </w:pPr>
      <w:r>
        <w:rPr>
          <w:rFonts w:hint="eastAsia"/>
          <w:b/>
          <w:bCs/>
          <w:sz w:val="24"/>
          <w:szCs w:val="24"/>
          <w:lang w:val="en-US" w:eastAsia="zh-CN"/>
        </w:rPr>
        <w:t>三、</w:t>
      </w:r>
      <w:r>
        <w:rPr>
          <w:rFonts w:hint="eastAsia"/>
          <w:b/>
          <w:bCs/>
          <w:sz w:val="24"/>
          <w:szCs w:val="24"/>
        </w:rPr>
        <w:t>工程承包方式及合同价款</w:t>
      </w:r>
    </w:p>
    <w:p w14:paraId="77719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eastAsia="宋体"/>
          <w:sz w:val="24"/>
          <w:szCs w:val="24"/>
          <w:lang w:val="en-US" w:eastAsia="zh-CN"/>
        </w:rPr>
        <w:t>3</w:t>
      </w:r>
      <w:r>
        <w:rPr>
          <w:rFonts w:hint="eastAsia"/>
          <w:sz w:val="24"/>
          <w:szCs w:val="24"/>
        </w:rPr>
        <w:t>.1、工程承包方式：本工程</w:t>
      </w:r>
      <w:r>
        <w:rPr>
          <w:rFonts w:hint="eastAsia" w:eastAsia="宋体"/>
          <w:sz w:val="24"/>
          <w:szCs w:val="24"/>
          <w:lang w:val="en-US" w:eastAsia="zh-CN"/>
        </w:rPr>
        <w:t>为</w:t>
      </w:r>
      <w:r>
        <w:rPr>
          <w:rFonts w:hint="eastAsia"/>
          <w:sz w:val="24"/>
          <w:szCs w:val="24"/>
        </w:rPr>
        <w:t>包工包料、包质量、包工期、包风险、包优化设计（优化设计方案以甲方认可为准）、包安全文明施工、</w:t>
      </w:r>
      <w:r>
        <w:rPr>
          <w:rFonts w:hint="eastAsia" w:eastAsia="宋体"/>
          <w:sz w:val="24"/>
          <w:szCs w:val="24"/>
          <w:lang w:val="en-US" w:eastAsia="zh-CN"/>
        </w:rPr>
        <w:t>包措施费、</w:t>
      </w:r>
      <w:r>
        <w:rPr>
          <w:rFonts w:hint="eastAsia"/>
          <w:sz w:val="24"/>
          <w:szCs w:val="24"/>
        </w:rPr>
        <w:t>包竣工资料的交钥匙工程。</w:t>
      </w:r>
    </w:p>
    <w:p w14:paraId="4A8D64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sz w:val="24"/>
          <w:szCs w:val="24"/>
          <w:lang w:val="en-US" w:eastAsia="zh-CN"/>
        </w:rPr>
      </w:pPr>
      <w:r>
        <w:rPr>
          <w:rFonts w:hint="eastAsia" w:eastAsia="宋体"/>
          <w:sz w:val="24"/>
          <w:szCs w:val="24"/>
          <w:lang w:val="en-US" w:eastAsia="zh-CN"/>
        </w:rPr>
        <w:t>3.2、</w:t>
      </w:r>
      <w:r>
        <w:rPr>
          <w:rFonts w:hint="eastAsia"/>
          <w:sz w:val="24"/>
          <w:szCs w:val="24"/>
        </w:rPr>
        <w:t>合同价款</w:t>
      </w:r>
      <w:r>
        <w:rPr>
          <w:rFonts w:hint="eastAsia"/>
          <w:sz w:val="24"/>
          <w:szCs w:val="24"/>
          <w:lang w:eastAsia="zh-CN"/>
        </w:rPr>
        <w:t>：</w:t>
      </w:r>
      <w:r>
        <w:rPr>
          <w:rFonts w:hint="eastAsia" w:eastAsia="宋体"/>
          <w:sz w:val="24"/>
          <w:szCs w:val="24"/>
          <w:lang w:val="en-US" w:eastAsia="zh-CN"/>
        </w:rPr>
        <w:t>本工程</w:t>
      </w:r>
      <w:r>
        <w:rPr>
          <w:rFonts w:hint="eastAsia"/>
          <w:sz w:val="24"/>
          <w:szCs w:val="24"/>
        </w:rPr>
        <w:t>采用固定综合单价</w:t>
      </w:r>
      <w:r>
        <w:rPr>
          <w:rFonts w:hint="eastAsia" w:eastAsia="宋体"/>
          <w:sz w:val="24"/>
          <w:szCs w:val="24"/>
          <w:lang w:eastAsia="zh-CN"/>
        </w:rPr>
        <w:t>，</w:t>
      </w:r>
      <w:r>
        <w:rPr>
          <w:rFonts w:hint="eastAsia"/>
          <w:sz w:val="24"/>
          <w:szCs w:val="24"/>
        </w:rPr>
        <w:t>工程量据实结算</w:t>
      </w:r>
      <w:r>
        <w:rPr>
          <w:rFonts w:hint="eastAsia" w:eastAsia="宋体"/>
          <w:sz w:val="24"/>
          <w:szCs w:val="24"/>
          <w:lang w:eastAsia="zh-CN"/>
        </w:rPr>
        <w:t>的</w:t>
      </w:r>
      <w:r>
        <w:rPr>
          <w:rFonts w:hint="eastAsia"/>
          <w:sz w:val="24"/>
          <w:szCs w:val="24"/>
        </w:rPr>
        <w:t>方式确定</w:t>
      </w:r>
      <w:r>
        <w:rPr>
          <w:rFonts w:hint="eastAsia" w:eastAsia="宋体"/>
          <w:sz w:val="24"/>
          <w:szCs w:val="24"/>
          <w:lang w:val="en-US" w:eastAsia="zh-CN"/>
        </w:rPr>
        <w:t>合同价款。</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b/>
          <w:bCs/>
          <w:sz w:val="24"/>
          <w:szCs w:val="24"/>
          <w:lang w:val="en-US" w:eastAsia="zh-CN"/>
        </w:rPr>
      </w:pPr>
      <w:r>
        <w:rPr>
          <w:rFonts w:hint="eastAsia"/>
          <w:b/>
          <w:bCs/>
          <w:sz w:val="24"/>
          <w:szCs w:val="24"/>
          <w:lang w:val="en-US" w:eastAsia="zh-CN"/>
        </w:rPr>
        <w:t>四</w:t>
      </w:r>
      <w:r>
        <w:rPr>
          <w:rFonts w:hint="eastAsia"/>
          <w:b/>
          <w:bCs/>
          <w:sz w:val="24"/>
          <w:szCs w:val="24"/>
        </w:rPr>
        <w:t>、工程款支付</w:t>
      </w:r>
      <w:r>
        <w:rPr>
          <w:rFonts w:hint="eastAsia" w:eastAsia="宋体"/>
          <w:b/>
          <w:bCs/>
          <w:sz w:val="24"/>
          <w:szCs w:val="24"/>
          <w:lang w:val="en-US" w:eastAsia="zh-CN"/>
        </w:rPr>
        <w:t>及质保</w:t>
      </w:r>
    </w:p>
    <w:p w14:paraId="262E2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color w:val="auto"/>
          <w:sz w:val="24"/>
          <w:szCs w:val="24"/>
        </w:rPr>
      </w:pPr>
      <w:r>
        <w:rPr>
          <w:rFonts w:hint="eastAsia" w:eastAsia="宋体"/>
          <w:color w:val="auto"/>
          <w:sz w:val="24"/>
          <w:szCs w:val="24"/>
          <w:lang w:val="en-US" w:eastAsia="zh-CN"/>
        </w:rPr>
        <w:t>4</w:t>
      </w:r>
      <w:r>
        <w:rPr>
          <w:rFonts w:hint="eastAsia"/>
          <w:color w:val="auto"/>
          <w:sz w:val="24"/>
          <w:szCs w:val="24"/>
        </w:rPr>
        <w:t>.1、</w:t>
      </w:r>
      <w:r>
        <w:rPr>
          <w:rFonts w:hint="eastAsia"/>
          <w:color w:val="auto"/>
          <w:sz w:val="24"/>
          <w:szCs w:val="24"/>
          <w:lang w:val="en-US" w:eastAsia="zh-CN"/>
        </w:rPr>
        <w:t>工程款支付：</w:t>
      </w:r>
    </w:p>
    <w:p w14:paraId="378342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240" w:firstLineChars="100"/>
        <w:textAlignment w:val="baseline"/>
        <w:rPr>
          <w:rFonts w:hint="eastAsia" w:eastAsia="宋体"/>
          <w:color w:val="auto"/>
          <w:sz w:val="24"/>
          <w:szCs w:val="24"/>
          <w:lang w:val="en-US" w:eastAsia="zh-CN"/>
        </w:rPr>
      </w:pPr>
      <w:r>
        <w:rPr>
          <w:rFonts w:hint="eastAsia" w:eastAsia="宋体"/>
          <w:color w:val="auto"/>
          <w:sz w:val="24"/>
          <w:szCs w:val="24"/>
          <w:lang w:val="en-US" w:eastAsia="zh-CN"/>
        </w:rPr>
        <w:t>（1）合同签订后，采购人支付材料定货款，金额为中标清单中材料费总额的20%；</w:t>
      </w:r>
    </w:p>
    <w:p w14:paraId="6305CA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240" w:firstLineChars="100"/>
        <w:textAlignment w:val="baseline"/>
        <w:rPr>
          <w:rFonts w:hint="eastAsia" w:eastAsia="宋体"/>
          <w:color w:val="auto"/>
          <w:sz w:val="24"/>
          <w:szCs w:val="24"/>
          <w:lang w:val="en-US" w:eastAsia="zh-CN"/>
        </w:rPr>
      </w:pPr>
      <w:r>
        <w:rPr>
          <w:rFonts w:hint="eastAsia" w:eastAsia="宋体"/>
          <w:color w:val="auto"/>
          <w:sz w:val="24"/>
          <w:szCs w:val="24"/>
          <w:lang w:val="en-US" w:eastAsia="zh-CN"/>
        </w:rPr>
        <w:t>（2）提货的时候支付清单中材料款的80%；</w:t>
      </w:r>
    </w:p>
    <w:p w14:paraId="2F389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240" w:firstLineChars="100"/>
        <w:textAlignment w:val="baseline"/>
        <w:rPr>
          <w:rFonts w:hint="eastAsia"/>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3</w:t>
      </w:r>
      <w:r>
        <w:rPr>
          <w:rFonts w:hint="eastAsia" w:eastAsia="宋体"/>
          <w:color w:val="auto"/>
          <w:sz w:val="24"/>
          <w:szCs w:val="24"/>
          <w:lang w:eastAsia="zh-CN"/>
        </w:rPr>
        <w:t>）</w:t>
      </w:r>
      <w:r>
        <w:rPr>
          <w:rFonts w:hint="eastAsia"/>
          <w:color w:val="auto"/>
          <w:sz w:val="24"/>
          <w:szCs w:val="24"/>
        </w:rPr>
        <w:t>安装完毕验收合格办理结算后</w:t>
      </w:r>
      <w:r>
        <w:rPr>
          <w:rFonts w:hint="eastAsia" w:eastAsia="宋体"/>
          <w:color w:val="auto"/>
          <w:sz w:val="24"/>
          <w:szCs w:val="24"/>
          <w:lang w:val="en-US" w:eastAsia="zh-CN"/>
        </w:rPr>
        <w:t>扣除质保金2000元外的金额七日内一次性支付给供应商；</w:t>
      </w:r>
    </w:p>
    <w:p w14:paraId="27F8FC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479" w:leftChars="114" w:hanging="240" w:hangingChars="100"/>
        <w:textAlignment w:val="baseline"/>
        <w:rPr>
          <w:rFonts w:hint="eastAsia"/>
          <w:color w:val="auto"/>
          <w:sz w:val="24"/>
          <w:szCs w:val="24"/>
        </w:rPr>
      </w:pPr>
      <w:r>
        <w:rPr>
          <w:rFonts w:hint="eastAsia" w:eastAsia="宋体"/>
          <w:color w:val="auto"/>
          <w:sz w:val="24"/>
          <w:szCs w:val="24"/>
          <w:lang w:val="en-US" w:eastAsia="zh-CN"/>
        </w:rPr>
        <w:t>（4</w:t>
      </w:r>
      <w:r>
        <w:rPr>
          <w:rFonts w:hint="eastAsia" w:eastAsia="宋体"/>
          <w:color w:val="auto"/>
          <w:sz w:val="24"/>
          <w:szCs w:val="24"/>
          <w:lang w:eastAsia="zh-CN"/>
        </w:rPr>
        <w:t>）</w:t>
      </w:r>
      <w:r>
        <w:rPr>
          <w:rFonts w:hint="eastAsia"/>
          <w:color w:val="auto"/>
          <w:sz w:val="24"/>
          <w:szCs w:val="24"/>
        </w:rPr>
        <w:t>每次付款</w:t>
      </w:r>
      <w:r>
        <w:rPr>
          <w:rFonts w:hint="eastAsia" w:eastAsia="宋体"/>
          <w:color w:val="auto"/>
          <w:sz w:val="24"/>
          <w:szCs w:val="24"/>
          <w:lang w:val="en-US" w:eastAsia="zh-CN"/>
        </w:rPr>
        <w:t>前供应商</w:t>
      </w:r>
      <w:r>
        <w:rPr>
          <w:rFonts w:hint="eastAsia"/>
          <w:color w:val="auto"/>
          <w:sz w:val="24"/>
          <w:szCs w:val="24"/>
        </w:rPr>
        <w:t>需提供有效的增值税普通发票。</w:t>
      </w:r>
    </w:p>
    <w:p w14:paraId="0B91F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color w:val="auto"/>
          <w:sz w:val="24"/>
          <w:szCs w:val="24"/>
          <w:lang w:val="en-US" w:eastAsia="zh-CN"/>
        </w:rPr>
      </w:pPr>
      <w:r>
        <w:rPr>
          <w:rFonts w:hint="eastAsia" w:eastAsia="宋体"/>
          <w:color w:val="auto"/>
          <w:sz w:val="24"/>
          <w:szCs w:val="24"/>
          <w:lang w:val="en-US" w:eastAsia="zh-CN"/>
        </w:rPr>
        <w:t>4.2、工程质保金约定</w:t>
      </w:r>
    </w:p>
    <w:p w14:paraId="080D39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240" w:firstLineChars="100"/>
        <w:textAlignment w:val="baseline"/>
        <w:rPr>
          <w:rFonts w:hint="eastAsia"/>
          <w:color w:val="auto"/>
          <w:sz w:val="24"/>
          <w:szCs w:val="24"/>
        </w:rPr>
      </w:pPr>
      <w:r>
        <w:rPr>
          <w:rFonts w:hint="eastAsia" w:eastAsia="宋体"/>
          <w:color w:val="auto"/>
          <w:sz w:val="24"/>
          <w:szCs w:val="24"/>
          <w:lang w:val="en-US" w:eastAsia="zh-CN"/>
        </w:rPr>
        <w:t>（1）</w:t>
      </w:r>
      <w:r>
        <w:rPr>
          <w:rFonts w:hint="eastAsia"/>
          <w:color w:val="auto"/>
          <w:sz w:val="24"/>
          <w:szCs w:val="24"/>
        </w:rPr>
        <w:t>漏水缺陷质保期：本工程质量漏水缺陷期为 5 年。在这 5 年期限内，若出现因</w:t>
      </w:r>
    </w:p>
    <w:p w14:paraId="771A22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color w:val="auto"/>
          <w:sz w:val="24"/>
          <w:szCs w:val="24"/>
          <w:lang w:val="en-US" w:eastAsia="zh-CN"/>
        </w:rPr>
      </w:pPr>
      <w:r>
        <w:rPr>
          <w:rFonts w:hint="eastAsia"/>
          <w:color w:val="auto"/>
          <w:sz w:val="24"/>
          <w:szCs w:val="24"/>
        </w:rPr>
        <w:t>材料质量问题或安装施工问题导致的漏水质量问题，均由承包人承担责任，并负责提供免费维修服务。</w:t>
      </w:r>
      <w:r>
        <w:rPr>
          <w:rFonts w:hint="eastAsia" w:eastAsia="宋体"/>
          <w:color w:val="auto"/>
          <w:sz w:val="24"/>
          <w:szCs w:val="24"/>
          <w:lang w:val="en-US" w:eastAsia="zh-CN"/>
        </w:rPr>
        <w:t>人为损坏的除外。</w:t>
      </w:r>
    </w:p>
    <w:p w14:paraId="77B17E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240" w:firstLineChars="100"/>
        <w:textAlignment w:val="baseline"/>
        <w:rPr>
          <w:rFonts w:hint="eastAsia"/>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2</w:t>
      </w:r>
      <w:r>
        <w:rPr>
          <w:rFonts w:hint="eastAsia" w:eastAsia="宋体"/>
          <w:color w:val="auto"/>
          <w:sz w:val="24"/>
          <w:szCs w:val="24"/>
          <w:lang w:eastAsia="zh-CN"/>
        </w:rPr>
        <w:t>）</w:t>
      </w:r>
      <w:r>
        <w:rPr>
          <w:rFonts w:hint="eastAsia"/>
          <w:color w:val="auto"/>
          <w:sz w:val="24"/>
          <w:szCs w:val="24"/>
        </w:rPr>
        <w:t>质保金退还：质保金金额为 2000 元。该笔质保金将在工程验收合格之日起满六个月后的7日内，无息退还。</w:t>
      </w:r>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val="0"/>
          <w:bCs w:val="0"/>
          <w:color w:val="auto"/>
          <w:sz w:val="24"/>
          <w:szCs w:val="24"/>
        </w:rPr>
      </w:pPr>
      <w:r>
        <w:rPr>
          <w:rFonts w:hint="eastAsia" w:eastAsia="宋体"/>
          <w:b/>
          <w:bCs/>
          <w:color w:val="auto"/>
          <w:sz w:val="24"/>
          <w:szCs w:val="24"/>
          <w:lang w:val="en-US" w:eastAsia="zh-CN"/>
        </w:rPr>
        <w:t>五</w:t>
      </w:r>
      <w:r>
        <w:rPr>
          <w:rFonts w:hint="eastAsia"/>
          <w:b/>
          <w:bCs/>
          <w:color w:val="auto"/>
          <w:sz w:val="24"/>
          <w:szCs w:val="24"/>
          <w:lang w:eastAsia="zh-CN"/>
        </w:rPr>
        <w:t>、</w:t>
      </w:r>
      <w:r>
        <w:rPr>
          <w:rFonts w:hint="eastAsia"/>
          <w:b/>
          <w:bCs/>
          <w:color w:val="auto"/>
          <w:sz w:val="24"/>
          <w:szCs w:val="24"/>
        </w:rPr>
        <w:t xml:space="preserve"> 工期</w:t>
      </w:r>
      <w:r>
        <w:rPr>
          <w:rFonts w:hint="eastAsia" w:eastAsia="宋体"/>
          <w:b/>
          <w:bCs/>
          <w:color w:val="auto"/>
          <w:sz w:val="24"/>
          <w:szCs w:val="24"/>
          <w:lang w:eastAsia="zh-CN"/>
        </w:rPr>
        <w:t>：</w:t>
      </w:r>
      <w:r>
        <w:rPr>
          <w:rFonts w:hint="eastAsia" w:eastAsia="宋体"/>
          <w:b w:val="0"/>
          <w:bCs w:val="0"/>
          <w:color w:val="auto"/>
          <w:sz w:val="24"/>
          <w:szCs w:val="24"/>
          <w:lang w:val="en-US" w:eastAsia="zh-CN"/>
        </w:rPr>
        <w:t>2025年8月30日前完成全部维修改造工程</w:t>
      </w:r>
      <w:r>
        <w:rPr>
          <w:rFonts w:hint="eastAsia"/>
          <w:b w:val="0"/>
          <w:bCs w:val="0"/>
          <w:color w:val="auto"/>
          <w:sz w:val="24"/>
          <w:szCs w:val="24"/>
        </w:rPr>
        <w:t>。</w:t>
      </w:r>
    </w:p>
    <w:p w14:paraId="601344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color w:val="auto"/>
          <w:sz w:val="24"/>
          <w:szCs w:val="24"/>
        </w:rPr>
      </w:pPr>
      <w:r>
        <w:rPr>
          <w:rFonts w:hint="eastAsia" w:eastAsia="宋体" w:cs="Arial"/>
          <w:b/>
          <w:bCs/>
          <w:snapToGrid w:val="0"/>
          <w:color w:val="auto"/>
          <w:sz w:val="24"/>
          <w:szCs w:val="24"/>
          <w:lang w:val="en-US" w:eastAsia="zh-CN" w:bidi="ar-SA"/>
        </w:rPr>
        <w:t>六</w:t>
      </w:r>
      <w:r>
        <w:rPr>
          <w:rFonts w:hint="eastAsia" w:ascii="Arial" w:hAnsi="Arial" w:eastAsia="Arial" w:cs="Arial"/>
          <w:b/>
          <w:bCs/>
          <w:snapToGrid w:val="0"/>
          <w:color w:val="auto"/>
          <w:sz w:val="24"/>
          <w:szCs w:val="24"/>
          <w:lang w:val="en-US" w:eastAsia="en-US" w:bidi="ar-SA"/>
        </w:rPr>
        <w:t>、</w:t>
      </w:r>
      <w:r>
        <w:rPr>
          <w:rFonts w:hint="eastAsia"/>
          <w:b/>
          <w:bCs/>
          <w:color w:val="auto"/>
          <w:sz w:val="24"/>
          <w:szCs w:val="24"/>
        </w:rPr>
        <w:t>质量要求：</w:t>
      </w:r>
      <w:r>
        <w:rPr>
          <w:rFonts w:hint="eastAsia"/>
          <w:color w:val="auto"/>
          <w:sz w:val="24"/>
          <w:szCs w:val="24"/>
        </w:rPr>
        <w:t>材料厚度足尺，安装规范不变形。</w:t>
      </w:r>
    </w:p>
    <w:p w14:paraId="362E4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cs="Arial"/>
          <w:b w:val="0"/>
          <w:bCs w:val="0"/>
          <w:snapToGrid w:val="0"/>
          <w:color w:val="auto"/>
          <w:sz w:val="24"/>
          <w:szCs w:val="24"/>
          <w:lang w:val="en-US" w:eastAsia="zh-CN" w:bidi="ar-SA"/>
        </w:rPr>
      </w:pPr>
      <w:r>
        <w:rPr>
          <w:rFonts w:hint="eastAsia" w:eastAsia="宋体" w:cs="Arial"/>
          <w:b/>
          <w:bCs/>
          <w:snapToGrid w:val="0"/>
          <w:color w:val="auto"/>
          <w:sz w:val="24"/>
          <w:szCs w:val="24"/>
          <w:lang w:val="en-US" w:eastAsia="zh-CN" w:bidi="ar-SA"/>
        </w:rPr>
        <w:t>七</w:t>
      </w:r>
      <w:r>
        <w:rPr>
          <w:rFonts w:hint="eastAsia" w:ascii="Arial" w:hAnsi="Arial" w:eastAsia="Arial" w:cs="Arial"/>
          <w:b/>
          <w:bCs/>
          <w:snapToGrid w:val="0"/>
          <w:color w:val="auto"/>
          <w:sz w:val="24"/>
          <w:szCs w:val="24"/>
          <w:lang w:val="en-US" w:eastAsia="en-US" w:bidi="ar-SA"/>
        </w:rPr>
        <w:t>、</w:t>
      </w:r>
      <w:r>
        <w:rPr>
          <w:rFonts w:hint="eastAsia" w:eastAsia="宋体" w:cs="Arial"/>
          <w:b/>
          <w:bCs/>
          <w:snapToGrid w:val="0"/>
          <w:color w:val="auto"/>
          <w:sz w:val="24"/>
          <w:szCs w:val="24"/>
          <w:lang w:val="en-US" w:eastAsia="zh-CN" w:bidi="ar-SA"/>
        </w:rPr>
        <w:t>投标保证金：</w:t>
      </w:r>
      <w:r>
        <w:rPr>
          <w:rFonts w:hint="eastAsia" w:eastAsia="宋体" w:cs="Arial"/>
          <w:b w:val="0"/>
          <w:bCs w:val="0"/>
          <w:snapToGrid w:val="0"/>
          <w:color w:val="auto"/>
          <w:sz w:val="24"/>
          <w:szCs w:val="24"/>
          <w:lang w:val="en-US" w:eastAsia="zh-CN" w:bidi="ar-SA"/>
        </w:rPr>
        <w:t>以转账支票或电汇形式提交保证金</w:t>
      </w:r>
      <w:r>
        <w:rPr>
          <w:rFonts w:hint="eastAsia"/>
          <w:color w:val="auto"/>
          <w:sz w:val="24"/>
          <w:szCs w:val="24"/>
          <w:lang w:val="en-US" w:eastAsia="zh-CN"/>
        </w:rPr>
        <w:t>2000</w:t>
      </w:r>
      <w:r>
        <w:rPr>
          <w:rFonts w:hint="eastAsia" w:eastAsia="宋体" w:cs="Arial"/>
          <w:b w:val="0"/>
          <w:bCs w:val="0"/>
          <w:snapToGrid w:val="0"/>
          <w:color w:val="auto"/>
          <w:sz w:val="24"/>
          <w:szCs w:val="24"/>
          <w:lang w:val="en-US" w:eastAsia="zh-CN" w:bidi="ar-SA"/>
        </w:rPr>
        <w:t>元，至以下账户：</w:t>
      </w:r>
    </w:p>
    <w:p w14:paraId="65E179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户  名：重庆理工职业学院</w:t>
      </w:r>
    </w:p>
    <w:p w14:paraId="6C78DA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开户行：中国银行重庆巴南支行</w:t>
      </w:r>
    </w:p>
    <w:p w14:paraId="3C5183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账  号：113070691433</w:t>
      </w:r>
    </w:p>
    <w:p w14:paraId="00EBE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备注：供应商必须在付款时注明是“国际楼二楼多功能会议室屋面加装铝板改造工程保证金”。未中标人保证金在中标公告发布后原路返还，</w:t>
      </w:r>
      <w:r>
        <w:rPr>
          <w:rFonts w:hint="eastAsia"/>
          <w:color w:val="auto"/>
          <w:sz w:val="24"/>
          <w:szCs w:val="24"/>
          <w:lang w:val="en-US" w:eastAsia="zh-CN"/>
        </w:rPr>
        <w:t>中标人的保证金在合同签订后5日内退还。</w:t>
      </w:r>
    </w:p>
    <w:p w14:paraId="1CDD8D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b/>
          <w:bCs/>
          <w:sz w:val="24"/>
          <w:szCs w:val="24"/>
          <w:lang w:val="en-US" w:eastAsia="zh-CN"/>
        </w:rPr>
        <w:t>八、</w:t>
      </w:r>
      <w:r>
        <w:rPr>
          <w:rFonts w:hint="eastAsia" w:ascii="Arial" w:eastAsia="Arial"/>
          <w:sz w:val="24"/>
          <w:szCs w:val="24"/>
          <w:lang w:val="en-US" w:eastAsia="zh-CN"/>
        </w:rPr>
        <w:t>若需踏勘现场，请联系</w:t>
      </w:r>
      <w:r>
        <w:rPr>
          <w:rFonts w:hint="eastAsia"/>
          <w:sz w:val="24"/>
          <w:szCs w:val="24"/>
        </w:rPr>
        <w:t>甲方代表：杜金忠  电话：13983111844</w:t>
      </w:r>
    </w:p>
    <w:p w14:paraId="46CDA8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lang w:val="en-US" w:eastAsia="zh-CN"/>
        </w:rPr>
      </w:pPr>
      <w:r>
        <w:rPr>
          <w:rFonts w:hint="eastAsia" w:eastAsia="宋体" w:cs="Arial"/>
          <w:b/>
          <w:bCs/>
          <w:snapToGrid w:val="0"/>
          <w:color w:val="000000"/>
          <w:sz w:val="24"/>
          <w:szCs w:val="24"/>
          <w:lang w:val="en-US" w:eastAsia="zh-CN" w:bidi="ar-SA"/>
        </w:rPr>
        <w:t>九</w:t>
      </w:r>
      <w:r>
        <w:rPr>
          <w:rFonts w:hint="eastAsia" w:ascii="Arial" w:hAnsi="Arial" w:eastAsia="Arial" w:cs="Arial"/>
          <w:b/>
          <w:bCs/>
          <w:snapToGrid w:val="0"/>
          <w:color w:val="000000"/>
          <w:sz w:val="24"/>
          <w:szCs w:val="24"/>
          <w:lang w:val="en-US" w:eastAsia="en-US" w:bidi="ar-SA"/>
        </w:rPr>
        <w:t>、</w:t>
      </w:r>
      <w:r>
        <w:rPr>
          <w:rFonts w:hint="eastAsia" w:ascii="Arial" w:eastAsia="Arial"/>
          <w:sz w:val="24"/>
          <w:szCs w:val="24"/>
          <w:lang w:val="en-US" w:eastAsia="zh-CN"/>
        </w:rPr>
        <w:t>请有意向的潜在供应商在重庆理工职业学院官网校企合作一体化招标采购平台（http://www.cqip.com.cn/html/15/Index.shtml）“下载中心”下载询价单电子文件，并于2025年8月</w:t>
      </w:r>
      <w:r>
        <w:rPr>
          <w:rFonts w:hint="eastAsia"/>
          <w:sz w:val="24"/>
          <w:szCs w:val="24"/>
          <w:lang w:val="en-US" w:eastAsia="zh-CN"/>
        </w:rPr>
        <w:t>25</w:t>
      </w:r>
      <w:r>
        <w:rPr>
          <w:rFonts w:hint="eastAsia" w:ascii="Arial" w:eastAsia="Arial"/>
          <w:sz w:val="24"/>
          <w:szCs w:val="24"/>
          <w:lang w:val="en-US" w:eastAsia="zh-CN"/>
        </w:rPr>
        <w:t>日下午1</w:t>
      </w:r>
      <w:r>
        <w:rPr>
          <w:rFonts w:hint="eastAsia"/>
          <w:sz w:val="24"/>
          <w:szCs w:val="24"/>
          <w:lang w:val="en-US" w:eastAsia="zh-CN"/>
        </w:rPr>
        <w:t>5</w:t>
      </w:r>
      <w:r>
        <w:rPr>
          <w:rFonts w:hint="eastAsia" w:ascii="Arial" w:eastAsia="Arial"/>
          <w:sz w:val="24"/>
          <w:szCs w:val="24"/>
          <w:lang w:val="en-US" w:eastAsia="zh-CN"/>
        </w:rPr>
        <w:t>:00前将</w:t>
      </w:r>
      <w:r>
        <w:rPr>
          <w:rFonts w:hint="default" w:ascii="Calibri" w:hAnsi="Calibri" w:eastAsia="Arial" w:cs="Calibri"/>
          <w:sz w:val="24"/>
          <w:szCs w:val="24"/>
          <w:lang w:val="en-US" w:eastAsia="zh-CN"/>
        </w:rPr>
        <w:t>①</w:t>
      </w:r>
      <w:r>
        <w:rPr>
          <w:rFonts w:hint="eastAsia" w:ascii="Arial" w:eastAsia="Arial"/>
          <w:sz w:val="24"/>
          <w:szCs w:val="24"/>
          <w:lang w:val="en-US" w:eastAsia="zh-CN"/>
        </w:rPr>
        <w:t>已盖章的报价表</w:t>
      </w:r>
      <w:r>
        <w:rPr>
          <w:rFonts w:hint="default" w:ascii="Calibri" w:hAnsi="Calibri" w:eastAsia="Arial" w:cs="Calibri"/>
          <w:sz w:val="24"/>
          <w:szCs w:val="24"/>
          <w:lang w:val="en-US" w:eastAsia="zh-CN"/>
        </w:rPr>
        <w:t>②</w:t>
      </w:r>
      <w:r>
        <w:rPr>
          <w:rFonts w:hint="eastAsia"/>
          <w:sz w:val="24"/>
          <w:szCs w:val="24"/>
          <w:lang w:val="en-US" w:eastAsia="zh-CN"/>
        </w:rPr>
        <w:t>营业执照及施工资质</w:t>
      </w:r>
      <w:r>
        <w:rPr>
          <w:rFonts w:hint="default" w:ascii="Calibri" w:hAnsi="Calibri" w:cs="Calibri"/>
          <w:sz w:val="24"/>
          <w:szCs w:val="24"/>
          <w:lang w:val="en-US" w:eastAsia="zh-CN"/>
        </w:rPr>
        <w:t>③</w:t>
      </w:r>
      <w:r>
        <w:rPr>
          <w:rFonts w:hint="eastAsia"/>
          <w:sz w:val="24"/>
          <w:szCs w:val="24"/>
          <w:lang w:val="en-US" w:eastAsia="zh-CN"/>
        </w:rPr>
        <w:t>保证金转账证明</w:t>
      </w:r>
      <w:r>
        <w:rPr>
          <w:rFonts w:hint="eastAsia" w:ascii="Arial" w:eastAsia="Arial"/>
          <w:sz w:val="24"/>
          <w:szCs w:val="24"/>
          <w:lang w:val="en-US" w:eastAsia="zh-CN"/>
        </w:rPr>
        <w:t>密封并</w:t>
      </w:r>
      <w:r>
        <w:rPr>
          <w:rFonts w:hint="eastAsia"/>
          <w:sz w:val="24"/>
          <w:szCs w:val="24"/>
          <w:lang w:val="en-US" w:eastAsia="zh-CN"/>
        </w:rPr>
        <w:t>送达</w:t>
      </w:r>
      <w:r>
        <w:rPr>
          <w:rFonts w:hint="eastAsia" w:ascii="Arial" w:eastAsia="Arial"/>
          <w:sz w:val="24"/>
          <w:szCs w:val="24"/>
          <w:lang w:val="en-US" w:eastAsia="zh-CN"/>
        </w:rPr>
        <w:t>至采购人处，</w:t>
      </w:r>
      <w:r>
        <w:rPr>
          <w:rFonts w:hint="eastAsia"/>
          <w:sz w:val="24"/>
          <w:szCs w:val="24"/>
          <w:lang w:val="en-US" w:eastAsia="zh-CN"/>
        </w:rPr>
        <w:t>密封文件封面应注明：国际楼二楼多功能会议室屋面加装铝板改造工程（重新招标）。</w:t>
      </w:r>
    </w:p>
    <w:p w14:paraId="66DF41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ascii="Arial" w:eastAsia="Arial"/>
          <w:sz w:val="24"/>
          <w:szCs w:val="24"/>
          <w:lang w:val="en-US" w:eastAsia="zh-CN"/>
        </w:rPr>
      </w:pPr>
      <w:r>
        <w:rPr>
          <w:rFonts w:hint="eastAsia"/>
          <w:sz w:val="24"/>
          <w:szCs w:val="24"/>
          <w:lang w:val="en-US" w:eastAsia="zh-CN"/>
        </w:rPr>
        <w:t>送达</w:t>
      </w:r>
      <w:r>
        <w:rPr>
          <w:rFonts w:hint="eastAsia" w:ascii="Arial" w:eastAsia="Arial"/>
          <w:sz w:val="24"/>
          <w:szCs w:val="24"/>
          <w:lang w:val="en-US" w:eastAsia="zh-CN"/>
        </w:rPr>
        <w:t>地址：重庆市巴南区东城大道588号重庆理工职业学院行政楼527，联系人:张老师，</w:t>
      </w:r>
    </w:p>
    <w:p w14:paraId="0F28D3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ascii="Arial" w:eastAsia="Arial"/>
          <w:sz w:val="24"/>
          <w:szCs w:val="24"/>
          <w:lang w:val="en-US" w:eastAsia="zh-CN"/>
        </w:rPr>
      </w:pPr>
      <w:r>
        <w:rPr>
          <w:rFonts w:hint="eastAsia" w:ascii="Arial" w:eastAsia="Arial"/>
          <w:sz w:val="24"/>
          <w:szCs w:val="24"/>
          <w:lang w:val="en-US" w:eastAsia="zh-CN"/>
        </w:rPr>
        <w:t>电话:16623604445。</w:t>
      </w:r>
    </w:p>
    <w:p w14:paraId="4979C7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p>
    <w:p w14:paraId="0F1EC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sz w:val="24"/>
          <w:szCs w:val="24"/>
        </w:rPr>
      </w:pPr>
      <w:r>
        <w:rPr>
          <w:rFonts w:hint="eastAsia"/>
          <w:sz w:val="24"/>
          <w:szCs w:val="24"/>
        </w:rPr>
        <w:t>采购人：重庆理工职业学院</w:t>
      </w:r>
    </w:p>
    <w:p w14:paraId="615BF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sz w:val="24"/>
          <w:szCs w:val="24"/>
        </w:rPr>
      </w:pPr>
      <w:r>
        <w:rPr>
          <w:rFonts w:hint="eastAsia"/>
          <w:sz w:val="24"/>
          <w:szCs w:val="24"/>
        </w:rPr>
        <w:t>2025年</w:t>
      </w:r>
      <w:r>
        <w:rPr>
          <w:rFonts w:hint="eastAsia" w:eastAsia="宋体"/>
          <w:sz w:val="24"/>
          <w:szCs w:val="24"/>
          <w:lang w:val="en-US" w:eastAsia="zh-CN"/>
        </w:rPr>
        <w:t>8</w:t>
      </w:r>
      <w:r>
        <w:rPr>
          <w:rFonts w:hint="eastAsia"/>
          <w:sz w:val="24"/>
          <w:szCs w:val="24"/>
        </w:rPr>
        <w:t>月</w:t>
      </w:r>
      <w:r>
        <w:rPr>
          <w:rFonts w:hint="eastAsia" w:eastAsia="宋体"/>
          <w:color w:val="auto"/>
          <w:sz w:val="24"/>
          <w:szCs w:val="24"/>
          <w:lang w:val="en-US" w:eastAsia="zh-CN"/>
        </w:rPr>
        <w:t>21</w:t>
      </w:r>
      <w:r>
        <w:rPr>
          <w:rFonts w:hint="eastAsia"/>
          <w:color w:val="auto"/>
          <w:sz w:val="24"/>
          <w:szCs w:val="24"/>
        </w:rPr>
        <w:t>日</w:t>
      </w:r>
    </w:p>
    <w:p w14:paraId="3C6B6B5B">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pPr>
    </w:p>
    <w:p w14:paraId="224D08B6">
      <w:pPr>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宋体" w:hAnsi="宋体" w:eastAsia="宋体" w:cs="宋体"/>
          <w:b/>
          <w:bCs/>
          <w:spacing w:val="17"/>
          <w:sz w:val="32"/>
          <w:szCs w:val="32"/>
          <w:lang w:eastAsia="zh-CN"/>
        </w:rPr>
        <w:br w:type="page"/>
      </w:r>
    </w:p>
    <w:p w14:paraId="65886ACF">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重庆理工职业学院</w:t>
      </w:r>
    </w:p>
    <w:p w14:paraId="21649A91">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val="en-US" w:eastAsia="zh-CN"/>
        </w:rPr>
        <w:t>国际楼二楼多功能会议室屋面加装铝板改造工程询价单</w:t>
      </w:r>
    </w:p>
    <w:tbl>
      <w:tblPr>
        <w:tblStyle w:val="5"/>
        <w:tblW w:w="14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32"/>
        <w:gridCol w:w="927"/>
        <w:gridCol w:w="71"/>
        <w:gridCol w:w="1164"/>
        <w:gridCol w:w="1123"/>
        <w:gridCol w:w="967"/>
        <w:gridCol w:w="156"/>
        <w:gridCol w:w="594"/>
        <w:gridCol w:w="529"/>
        <w:gridCol w:w="330"/>
        <w:gridCol w:w="765"/>
        <w:gridCol w:w="288"/>
        <w:gridCol w:w="789"/>
        <w:gridCol w:w="247"/>
        <w:gridCol w:w="612"/>
        <w:gridCol w:w="214"/>
        <w:gridCol w:w="1649"/>
        <w:gridCol w:w="789"/>
        <w:gridCol w:w="111"/>
        <w:gridCol w:w="915"/>
        <w:gridCol w:w="1829"/>
      </w:tblGrid>
      <w:tr w14:paraId="3184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65" w:type="dxa"/>
            <w:gridSpan w:val="2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BB2690">
            <w:pPr>
              <w:keepNext w:val="0"/>
              <w:keepLines w:val="0"/>
              <w:widowControl/>
              <w:suppressLineNumbers w:val="0"/>
              <w:kinsoku/>
              <w:autoSpaceDE/>
              <w:autoSpaceDN/>
              <w:adjustRightInd/>
              <w:snapToGrid/>
              <w:jc w:val="left"/>
              <w:textAlignment w:val="center"/>
              <w:rPr>
                <w:rFonts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21"/>
                <w:szCs w:val="21"/>
                <w:u w:val="none"/>
                <w:lang w:val="en-US" w:eastAsia="zh-CN" w:bidi="ar"/>
              </w:rPr>
              <w:t>工程名称：</w:t>
            </w:r>
            <w:r>
              <w:rPr>
                <w:rFonts w:hint="eastAsia" w:ascii="方正小标宋_GBK" w:hAnsi="方正小标宋_GBK" w:eastAsia="方正小标宋_GBK" w:cs="方正小标宋_GBK"/>
                <w:i w:val="0"/>
                <w:iCs w:val="0"/>
                <w:snapToGrid/>
                <w:color w:val="000000"/>
                <w:kern w:val="0"/>
                <w:sz w:val="21"/>
                <w:szCs w:val="21"/>
                <w:u w:val="none"/>
                <w:lang w:val="en-US" w:eastAsia="zh-CN" w:bidi="ar"/>
              </w:rPr>
              <w:t>重庆理工职业学院</w:t>
            </w:r>
            <w:r>
              <w:rPr>
                <w:rFonts w:hint="eastAsia" w:ascii="方正小标宋_GBK" w:hAnsi="方正小标宋_GBK" w:eastAsia="方正小标宋_GBK" w:cs="方正小标宋_GBK"/>
                <w:snapToGrid/>
                <w:kern w:val="2"/>
                <w:sz w:val="21"/>
                <w:szCs w:val="21"/>
                <w:lang w:val="en-US" w:eastAsia="zh-CN"/>
              </w:rPr>
              <w:t xml:space="preserve">国际楼二楼多功能会议室屋面加装铝板改造工程 </w:t>
            </w:r>
            <w:r>
              <w:rPr>
                <w:rFonts w:hint="default" w:ascii="方正粗黑宋简体" w:hAnsi="方正粗黑宋简体" w:eastAsia="方正粗黑宋简体" w:cs="方正粗黑宋简体"/>
                <w:i w:val="0"/>
                <w:iCs w:val="0"/>
                <w:snapToGrid/>
                <w:color w:val="000000"/>
                <w:kern w:val="0"/>
                <w:sz w:val="21"/>
                <w:szCs w:val="21"/>
                <w:u w:val="none"/>
                <w:lang w:val="en-US" w:eastAsia="zh-CN" w:bidi="ar"/>
              </w:rPr>
              <w:t xml:space="preserve">   </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w:t>
            </w:r>
          </w:p>
        </w:tc>
      </w:tr>
      <w:tr w14:paraId="04A1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68156C">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序号</w:t>
            </w:r>
          </w:p>
        </w:tc>
        <w:tc>
          <w:tcPr>
            <w:tcW w:w="95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0AC9D">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项目名称</w:t>
            </w:r>
          </w:p>
        </w:tc>
        <w:tc>
          <w:tcPr>
            <w:tcW w:w="332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B06BC">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项目特征</w:t>
            </w:r>
          </w:p>
        </w:tc>
        <w:tc>
          <w:tcPr>
            <w:tcW w:w="7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FAC383">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计量单位</w:t>
            </w:r>
          </w:p>
        </w:tc>
        <w:tc>
          <w:tcPr>
            <w:tcW w:w="85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C71998">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预估工程量</w:t>
            </w:r>
          </w:p>
        </w:tc>
        <w:tc>
          <w:tcPr>
            <w:tcW w:w="8208" w:type="dxa"/>
            <w:gridSpan w:val="11"/>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780393">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金额（元）</w:t>
            </w:r>
          </w:p>
        </w:tc>
      </w:tr>
      <w:tr w14:paraId="16DC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318EA8">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95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77C0D5">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332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204370">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574A8F">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85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ED8D3F">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4564" w:type="dxa"/>
            <w:gridSpan w:val="7"/>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EDB29F">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综合单价组成</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6AB19">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综合单价合计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804775">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总价</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02790F">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备注</w:t>
            </w:r>
          </w:p>
        </w:tc>
      </w:tr>
      <w:tr w14:paraId="6BBA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64FB678C">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959"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1A30E0DE">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3325" w:type="dxa"/>
            <w:gridSpan w:val="4"/>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52345155">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750"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137DB7C4">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859"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39846E28">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1053" w:type="dxa"/>
            <w:gridSpan w:val="2"/>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603C1322">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人工及机具费</w:t>
            </w:r>
          </w:p>
        </w:tc>
        <w:tc>
          <w:tcPr>
            <w:tcW w:w="1036" w:type="dxa"/>
            <w:gridSpan w:val="2"/>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772E9533">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主材费</w:t>
            </w:r>
          </w:p>
        </w:tc>
        <w:tc>
          <w:tcPr>
            <w:tcW w:w="826" w:type="dxa"/>
            <w:gridSpan w:val="2"/>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6A14DBBB">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辅材费</w:t>
            </w:r>
          </w:p>
        </w:tc>
        <w:tc>
          <w:tcPr>
            <w:tcW w:w="164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0DBC65F">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措施费、管理费、税金等其他费用</w:t>
            </w:r>
          </w:p>
        </w:tc>
        <w:tc>
          <w:tcPr>
            <w:tcW w:w="900" w:type="dxa"/>
            <w:gridSpan w:val="2"/>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2601A025">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915" w:type="dxa"/>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135A7EB2">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1829" w:type="dxa"/>
            <w:vMerge w:val="continue"/>
            <w:tcBorders>
              <w:top w:val="single" w:color="000000" w:sz="4" w:space="0"/>
              <w:left w:val="single" w:color="000000" w:sz="4" w:space="0"/>
              <w:bottom w:val="single" w:color="auto" w:sz="4" w:space="0"/>
              <w:right w:val="single" w:color="000000" w:sz="4" w:space="0"/>
            </w:tcBorders>
            <w:shd w:val="clear" w:color="FFFFFF" w:fill="FFFFFF"/>
            <w:noWrap w:val="0"/>
            <w:vAlign w:val="center"/>
          </w:tcPr>
          <w:p w14:paraId="687021F2">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r>
      <w:tr w14:paraId="6475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4" w:hRule="atLeast"/>
        </w:trPr>
        <w:tc>
          <w:tcPr>
            <w:tcW w:w="764" w:type="dxa"/>
            <w:tcBorders>
              <w:top w:val="single" w:color="auto" w:sz="4" w:space="0"/>
              <w:left w:val="single" w:color="auto" w:sz="4" w:space="0"/>
              <w:bottom w:val="single" w:color="auto" w:sz="4" w:space="0"/>
              <w:right w:val="single" w:color="000000" w:sz="4" w:space="0"/>
            </w:tcBorders>
            <w:noWrap w:val="0"/>
            <w:vAlign w:val="center"/>
          </w:tcPr>
          <w:p w14:paraId="16CD15DE">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1</w:t>
            </w:r>
          </w:p>
          <w:p w14:paraId="2D9F52F4">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959" w:type="dxa"/>
            <w:gridSpan w:val="2"/>
            <w:tcBorders>
              <w:top w:val="single" w:color="auto" w:sz="4" w:space="0"/>
              <w:left w:val="single" w:color="000000" w:sz="4" w:space="0"/>
              <w:bottom w:val="single" w:color="auto" w:sz="4" w:space="0"/>
              <w:right w:val="nil"/>
            </w:tcBorders>
            <w:noWrap w:val="0"/>
            <w:vAlign w:val="center"/>
          </w:tcPr>
          <w:p w14:paraId="774AE819">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基层清理</w:t>
            </w:r>
          </w:p>
          <w:p w14:paraId="315CDDC8">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铝瓦安装</w:t>
            </w:r>
          </w:p>
        </w:tc>
        <w:tc>
          <w:tcPr>
            <w:tcW w:w="3325" w:type="dxa"/>
            <w:gridSpan w:val="4"/>
            <w:tcBorders>
              <w:top w:val="single" w:color="auto" w:sz="4" w:space="0"/>
              <w:left w:val="single" w:color="000000" w:sz="4" w:space="0"/>
              <w:bottom w:val="single" w:color="auto" w:sz="4" w:space="0"/>
              <w:right w:val="single" w:color="000000" w:sz="4" w:space="0"/>
            </w:tcBorders>
            <w:noWrap w:val="0"/>
            <w:vAlign w:val="top"/>
          </w:tcPr>
          <w:p w14:paraId="6F071697">
            <w:pPr>
              <w:keepNext w:val="0"/>
              <w:keepLines w:val="0"/>
              <w:widowControl/>
              <w:suppressLineNumbers w:val="0"/>
              <w:kinsoku/>
              <w:autoSpaceDE/>
              <w:autoSpaceDN/>
              <w:adjustRightInd/>
              <w:snapToGrid/>
              <w:jc w:val="left"/>
              <w:textAlignment w:val="top"/>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工作内容：</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br w:type="textWrapping"/>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1.文明施工防护，</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br w:type="textWrapping"/>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2.清理</w:t>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屋面原有彩钢瓦上部的附着物；</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3.</w:t>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清除原屋面固定螺丝；</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br w:type="textWrapping"/>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4</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w:t>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采用厚度不低于0.6mm的铝制瓦；</w:t>
            </w:r>
          </w:p>
          <w:p w14:paraId="1CE5B2A9">
            <w:pPr>
              <w:keepNext w:val="0"/>
              <w:keepLines w:val="0"/>
              <w:widowControl/>
              <w:numPr>
                <w:ilvl w:val="0"/>
                <w:numId w:val="0"/>
              </w:numPr>
              <w:suppressLineNumbers w:val="0"/>
              <w:kinsoku/>
              <w:autoSpaceDE/>
              <w:autoSpaceDN/>
              <w:adjustRightInd/>
              <w:snapToGrid/>
              <w:jc w:val="left"/>
              <w:textAlignment w:val="top"/>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pP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前期进场测量原有瓦的形状、尺寸，制作与原有瓦形状尺寸相符合的铝瓦；</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w:t>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6</w:t>
            </w: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w:t>
            </w: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固定铝瓦后周边与墙面接触区域打密封胶或密封胶条。</w:t>
            </w:r>
          </w:p>
          <w:p w14:paraId="69A0B4A1">
            <w:pPr>
              <w:widowControl w:val="0"/>
              <w:kinsoku/>
              <w:autoSpaceDE/>
              <w:autoSpaceDN/>
              <w:bidi w:val="0"/>
              <w:adjustRightInd/>
              <w:snapToGrid/>
              <w:jc w:val="both"/>
              <w:textAlignment w:val="auto"/>
              <w:rPr>
                <w:rFonts w:hint="default" w:ascii="Calibri" w:hAnsi="Calibri" w:eastAsia="宋体" w:cs="Times New Roman"/>
                <w:snapToGrid/>
                <w:kern w:val="2"/>
                <w:szCs w:val="24"/>
                <w:lang w:val="en-US" w:eastAsia="zh-CN"/>
              </w:rPr>
            </w:pPr>
            <w:r>
              <w:rPr>
                <w:rFonts w:hint="eastAsia" w:ascii="方正粗黑宋简体" w:hAnsi="方正粗黑宋简体" w:eastAsia="方正粗黑宋简体" w:cs="方正粗黑宋简体"/>
                <w:snapToGrid/>
                <w:kern w:val="2"/>
                <w:sz w:val="18"/>
                <w:szCs w:val="21"/>
                <w:lang w:val="en-US" w:eastAsia="zh-CN"/>
              </w:rPr>
              <w:t>7.质保5年不出现漏水情况</w:t>
            </w:r>
          </w:p>
        </w:tc>
        <w:tc>
          <w:tcPr>
            <w:tcW w:w="750" w:type="dxa"/>
            <w:gridSpan w:val="2"/>
            <w:tcBorders>
              <w:top w:val="single" w:color="auto" w:sz="4" w:space="0"/>
              <w:left w:val="single" w:color="000000" w:sz="4" w:space="0"/>
              <w:bottom w:val="single" w:color="auto" w:sz="4" w:space="0"/>
              <w:right w:val="single" w:color="000000" w:sz="4" w:space="0"/>
            </w:tcBorders>
            <w:noWrap w:val="0"/>
            <w:vAlign w:val="center"/>
          </w:tcPr>
          <w:p w14:paraId="7EC558BC">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w:t>
            </w:r>
          </w:p>
        </w:tc>
        <w:tc>
          <w:tcPr>
            <w:tcW w:w="859" w:type="dxa"/>
            <w:gridSpan w:val="2"/>
            <w:tcBorders>
              <w:top w:val="single" w:color="auto" w:sz="4" w:space="0"/>
              <w:left w:val="single" w:color="000000" w:sz="4" w:space="0"/>
              <w:bottom w:val="single" w:color="auto" w:sz="4" w:space="0"/>
              <w:right w:val="single" w:color="000000" w:sz="4" w:space="0"/>
            </w:tcBorders>
            <w:noWrap w:val="0"/>
            <w:vAlign w:val="center"/>
          </w:tcPr>
          <w:p w14:paraId="7AC71A74">
            <w:pPr>
              <w:keepNext w:val="0"/>
              <w:keepLines w:val="0"/>
              <w:widowControl/>
              <w:suppressLineNumbers w:val="0"/>
              <w:kinsoku/>
              <w:autoSpaceDE/>
              <w:autoSpaceDN/>
              <w:adjustRightInd/>
              <w:snapToGrid/>
              <w:jc w:val="center"/>
              <w:textAlignment w:val="cente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pPr>
          </w:p>
          <w:p w14:paraId="1EE8F11B">
            <w:pPr>
              <w:keepNext w:val="0"/>
              <w:keepLines w:val="0"/>
              <w:widowControl/>
              <w:suppressLineNumbers w:val="0"/>
              <w:kinsoku/>
              <w:autoSpaceDE/>
              <w:autoSpaceDN/>
              <w:adjustRightInd/>
              <w:snapToGrid/>
              <w:jc w:val="center"/>
              <w:textAlignment w:val="cente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pPr>
            <w:r>
              <w:rPr>
                <w:rFonts w:hint="eastAsia" w:ascii="方正粗黑宋简体" w:hAnsi="方正粗黑宋简体" w:eastAsia="方正粗黑宋简体" w:cs="方正粗黑宋简体"/>
                <w:i w:val="0"/>
                <w:iCs w:val="0"/>
                <w:snapToGrid/>
                <w:color w:val="000000"/>
                <w:kern w:val="0"/>
                <w:sz w:val="18"/>
                <w:szCs w:val="18"/>
                <w:u w:val="none"/>
                <w:lang w:val="en-US" w:eastAsia="zh-CN" w:bidi="ar"/>
              </w:rPr>
              <w:t>1000</w:t>
            </w:r>
          </w:p>
          <w:p w14:paraId="52902681">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val="en-US" w:eastAsia="zh-CN"/>
              </w:rPr>
            </w:pPr>
          </w:p>
        </w:tc>
        <w:tc>
          <w:tcPr>
            <w:tcW w:w="1053" w:type="dxa"/>
            <w:gridSpan w:val="2"/>
            <w:tcBorders>
              <w:top w:val="single" w:color="auto" w:sz="4" w:space="0"/>
              <w:left w:val="single" w:color="000000" w:sz="4" w:space="0"/>
              <w:bottom w:val="single" w:color="auto" w:sz="4" w:space="0"/>
              <w:right w:val="single" w:color="000000" w:sz="4" w:space="0"/>
            </w:tcBorders>
            <w:noWrap w:val="0"/>
            <w:vAlign w:val="center"/>
          </w:tcPr>
          <w:p w14:paraId="21781D7E">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1036" w:type="dxa"/>
            <w:gridSpan w:val="2"/>
            <w:tcBorders>
              <w:top w:val="single" w:color="auto" w:sz="4" w:space="0"/>
              <w:left w:val="single" w:color="000000" w:sz="4" w:space="0"/>
              <w:bottom w:val="single" w:color="auto" w:sz="4" w:space="0"/>
              <w:right w:val="single" w:color="000000" w:sz="4" w:space="0"/>
            </w:tcBorders>
            <w:noWrap w:val="0"/>
            <w:vAlign w:val="center"/>
          </w:tcPr>
          <w:p w14:paraId="25D94D99">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826" w:type="dxa"/>
            <w:gridSpan w:val="2"/>
            <w:tcBorders>
              <w:top w:val="single" w:color="auto" w:sz="4" w:space="0"/>
              <w:left w:val="single" w:color="000000" w:sz="4" w:space="0"/>
              <w:bottom w:val="single" w:color="auto" w:sz="4" w:space="0"/>
              <w:right w:val="single" w:color="000000" w:sz="4" w:space="0"/>
            </w:tcBorders>
            <w:noWrap w:val="0"/>
            <w:vAlign w:val="center"/>
          </w:tcPr>
          <w:p w14:paraId="2C72E65D">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1649" w:type="dxa"/>
            <w:tcBorders>
              <w:top w:val="single" w:color="auto" w:sz="4" w:space="0"/>
              <w:left w:val="single" w:color="000000" w:sz="4" w:space="0"/>
              <w:bottom w:val="single" w:color="auto" w:sz="4" w:space="0"/>
              <w:right w:val="single" w:color="000000" w:sz="4" w:space="0"/>
            </w:tcBorders>
            <w:noWrap w:val="0"/>
            <w:vAlign w:val="center"/>
          </w:tcPr>
          <w:p w14:paraId="6A90BBDA">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p>
        </w:tc>
        <w:tc>
          <w:tcPr>
            <w:tcW w:w="900" w:type="dxa"/>
            <w:gridSpan w:val="2"/>
            <w:tcBorders>
              <w:top w:val="single" w:color="auto" w:sz="4" w:space="0"/>
              <w:left w:val="single" w:color="000000" w:sz="4" w:space="0"/>
              <w:bottom w:val="single" w:color="auto" w:sz="4" w:space="0"/>
              <w:right w:val="single" w:color="000000" w:sz="4" w:space="0"/>
            </w:tcBorders>
            <w:noWrap w:val="0"/>
            <w:vAlign w:val="center"/>
          </w:tcPr>
          <w:p w14:paraId="438CA79B">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w:t>
            </w:r>
          </w:p>
        </w:tc>
        <w:tc>
          <w:tcPr>
            <w:tcW w:w="915" w:type="dxa"/>
            <w:tcBorders>
              <w:top w:val="single" w:color="auto" w:sz="4" w:space="0"/>
              <w:left w:val="single" w:color="000000" w:sz="4" w:space="0"/>
              <w:bottom w:val="single" w:color="auto" w:sz="4" w:space="0"/>
              <w:right w:val="single" w:color="000000" w:sz="4" w:space="0"/>
            </w:tcBorders>
            <w:noWrap w:val="0"/>
            <w:vAlign w:val="center"/>
          </w:tcPr>
          <w:p w14:paraId="34D21E62">
            <w:pPr>
              <w:keepNext w:val="0"/>
              <w:keepLines w:val="0"/>
              <w:widowControl/>
              <w:suppressLineNumbers w:val="0"/>
              <w:kinsoku/>
              <w:autoSpaceDE/>
              <w:autoSpaceDN/>
              <w:adjustRightInd/>
              <w:snapToGrid/>
              <w:jc w:val="center"/>
              <w:textAlignment w:val="center"/>
              <w:rPr>
                <w:rFonts w:hint="default" w:ascii="方正粗黑宋简体" w:hAnsi="方正粗黑宋简体" w:eastAsia="方正粗黑宋简体" w:cs="方正粗黑宋简体"/>
                <w:i w:val="0"/>
                <w:iCs w:val="0"/>
                <w:snapToGrid/>
                <w:color w:val="000000"/>
                <w:kern w:val="2"/>
                <w:sz w:val="18"/>
                <w:szCs w:val="18"/>
                <w:u w:val="none"/>
                <w:lang w:eastAsia="zh-CN"/>
              </w:rPr>
            </w:pPr>
            <w:r>
              <w:rPr>
                <w:rFonts w:hint="default" w:ascii="方正粗黑宋简体" w:hAnsi="方正粗黑宋简体" w:eastAsia="方正粗黑宋简体" w:cs="方正粗黑宋简体"/>
                <w:i w:val="0"/>
                <w:iCs w:val="0"/>
                <w:snapToGrid/>
                <w:color w:val="000000"/>
                <w:kern w:val="0"/>
                <w:sz w:val="18"/>
                <w:szCs w:val="18"/>
                <w:u w:val="none"/>
                <w:lang w:val="en-US" w:eastAsia="zh-CN" w:bidi="ar"/>
              </w:rPr>
              <w:t xml:space="preserve"> </w:t>
            </w:r>
          </w:p>
        </w:tc>
        <w:tc>
          <w:tcPr>
            <w:tcW w:w="1829" w:type="dxa"/>
            <w:tcBorders>
              <w:top w:val="single" w:color="auto" w:sz="4" w:space="0"/>
              <w:left w:val="single" w:color="000000" w:sz="4" w:space="0"/>
              <w:bottom w:val="single" w:color="auto" w:sz="4" w:space="0"/>
              <w:right w:val="single" w:color="auto" w:sz="4" w:space="0"/>
            </w:tcBorders>
            <w:noWrap w:val="0"/>
            <w:vAlign w:val="top"/>
          </w:tcPr>
          <w:p w14:paraId="7E2BCFCB">
            <w:pPr>
              <w:widowControl w:val="0"/>
              <w:kinsoku/>
              <w:autoSpaceDE/>
              <w:autoSpaceDN/>
              <w:adjustRightInd/>
              <w:snapToGrid/>
              <w:jc w:val="center"/>
              <w:textAlignment w:val="auto"/>
              <w:rPr>
                <w:rFonts w:hint="default" w:ascii="方正粗黑宋简体" w:hAnsi="方正粗黑宋简体" w:eastAsia="方正粗黑宋简体" w:cs="方正粗黑宋简体"/>
                <w:i w:val="0"/>
                <w:iCs w:val="0"/>
                <w:snapToGrid/>
                <w:color w:val="000000"/>
                <w:kern w:val="2"/>
                <w:sz w:val="18"/>
                <w:szCs w:val="18"/>
                <w:u w:val="none"/>
                <w:lang w:eastAsia="zh-CN"/>
              </w:rPr>
            </w:pPr>
          </w:p>
        </w:tc>
      </w:tr>
      <w:tr w14:paraId="1346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21" w:type="dxa"/>
            <w:gridSpan w:val="18"/>
            <w:tcBorders>
              <w:top w:val="single" w:color="000000" w:sz="4" w:space="0"/>
              <w:left w:val="single" w:color="000000" w:sz="4" w:space="0"/>
              <w:bottom w:val="single" w:color="000000" w:sz="4" w:space="0"/>
              <w:right w:val="single" w:color="000000" w:sz="4" w:space="0"/>
            </w:tcBorders>
            <w:noWrap/>
            <w:vAlign w:val="center"/>
          </w:tcPr>
          <w:p w14:paraId="3B17746C">
            <w:pPr>
              <w:keepNext w:val="0"/>
              <w:keepLines w:val="0"/>
              <w:widowControl/>
              <w:suppressLineNumbers w:val="0"/>
              <w:kinsoku/>
              <w:autoSpaceDE/>
              <w:autoSpaceDN/>
              <w:adjustRightInd/>
              <w:snapToGrid/>
              <w:jc w:val="center"/>
              <w:textAlignment w:val="center"/>
              <w:rPr>
                <w:rFonts w:hint="eastAsia" w:ascii="宋体" w:hAnsi="宋体" w:eastAsia="宋体" w:cs="宋体"/>
                <w:b/>
                <w:bCs/>
                <w:i w:val="0"/>
                <w:iCs w:val="0"/>
                <w:snapToGrid/>
                <w:color w:val="000000"/>
                <w:kern w:val="2"/>
                <w:sz w:val="22"/>
                <w:szCs w:val="22"/>
                <w:u w:val="none"/>
                <w:lang w:eastAsia="zh-CN"/>
              </w:rPr>
            </w:pPr>
            <w:r>
              <w:rPr>
                <w:rFonts w:hint="eastAsia" w:ascii="宋体" w:hAnsi="宋体" w:eastAsia="宋体" w:cs="宋体"/>
                <w:b/>
                <w:bCs/>
                <w:i w:val="0"/>
                <w:iCs w:val="0"/>
                <w:snapToGrid/>
                <w:color w:val="000000"/>
                <w:kern w:val="0"/>
                <w:sz w:val="22"/>
                <w:szCs w:val="22"/>
                <w:u w:val="none"/>
                <w:lang w:val="en-US" w:eastAsia="zh-CN" w:bidi="ar"/>
              </w:rPr>
              <w:t>合  计</w:t>
            </w:r>
          </w:p>
        </w:tc>
        <w:tc>
          <w:tcPr>
            <w:tcW w:w="1815" w:type="dxa"/>
            <w:gridSpan w:val="3"/>
            <w:tcBorders>
              <w:top w:val="single" w:color="000000" w:sz="4" w:space="0"/>
              <w:left w:val="single" w:color="000000" w:sz="4" w:space="0"/>
              <w:bottom w:val="single" w:color="000000" w:sz="4" w:space="0"/>
              <w:right w:val="single" w:color="000000" w:sz="4" w:space="0"/>
            </w:tcBorders>
            <w:noWrap/>
            <w:vAlign w:val="center"/>
          </w:tcPr>
          <w:p w14:paraId="6E59826A">
            <w:pPr>
              <w:keepNext w:val="0"/>
              <w:keepLines w:val="0"/>
              <w:widowControl/>
              <w:suppressLineNumbers w:val="0"/>
              <w:kinsoku/>
              <w:autoSpaceDE/>
              <w:autoSpaceDN/>
              <w:adjustRightInd/>
              <w:snapToGrid/>
              <w:jc w:val="center"/>
              <w:textAlignment w:val="center"/>
              <w:rPr>
                <w:rFonts w:hint="eastAsia" w:ascii="宋体" w:hAnsi="宋体" w:eastAsia="宋体" w:cs="宋体"/>
                <w:b/>
                <w:bCs/>
                <w:i w:val="0"/>
                <w:iCs w:val="0"/>
                <w:snapToGrid/>
                <w:color w:val="000000"/>
                <w:kern w:val="2"/>
                <w:sz w:val="22"/>
                <w:szCs w:val="22"/>
                <w:u w:val="none"/>
                <w:lang w:eastAsia="zh-CN"/>
              </w:rPr>
            </w:pPr>
          </w:p>
        </w:tc>
        <w:tc>
          <w:tcPr>
            <w:tcW w:w="1829" w:type="dxa"/>
            <w:tcBorders>
              <w:top w:val="single" w:color="000000" w:sz="4" w:space="0"/>
              <w:left w:val="single" w:color="000000" w:sz="4" w:space="0"/>
              <w:bottom w:val="single" w:color="000000" w:sz="4" w:space="0"/>
              <w:right w:val="single" w:color="000000" w:sz="4" w:space="0"/>
            </w:tcBorders>
            <w:noWrap w:val="0"/>
            <w:vAlign w:val="top"/>
          </w:tcPr>
          <w:p w14:paraId="1C49BF65">
            <w:pPr>
              <w:keepNext w:val="0"/>
              <w:keepLines w:val="0"/>
              <w:widowControl/>
              <w:suppressLineNumbers w:val="0"/>
              <w:kinsoku/>
              <w:autoSpaceDE/>
              <w:autoSpaceDN/>
              <w:adjustRightInd/>
              <w:snapToGrid/>
              <w:jc w:val="left"/>
              <w:textAlignment w:val="top"/>
              <w:rPr>
                <w:rFonts w:hint="default" w:ascii="方正粗黑宋简体" w:hAnsi="方正粗黑宋简体" w:eastAsia="方正粗黑宋简体" w:cs="方正粗黑宋简体"/>
                <w:i w:val="0"/>
                <w:iCs w:val="0"/>
                <w:snapToGrid/>
                <w:color w:val="000000"/>
                <w:kern w:val="2"/>
                <w:sz w:val="18"/>
                <w:szCs w:val="18"/>
                <w:u w:val="none"/>
                <w:lang w:eastAsia="zh-CN"/>
              </w:rPr>
            </w:pPr>
          </w:p>
        </w:tc>
      </w:tr>
      <w:tr w14:paraId="5DFF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21" w:type="dxa"/>
            <w:gridSpan w:val="18"/>
            <w:tcBorders>
              <w:top w:val="single" w:color="000000" w:sz="4" w:space="0"/>
              <w:left w:val="single" w:color="000000" w:sz="4" w:space="0"/>
              <w:bottom w:val="single" w:color="000000" w:sz="4" w:space="0"/>
              <w:right w:val="single" w:color="000000" w:sz="4" w:space="0"/>
            </w:tcBorders>
            <w:noWrap/>
            <w:vAlign w:val="center"/>
          </w:tcPr>
          <w:p w14:paraId="48EE827A">
            <w:pPr>
              <w:keepNext w:val="0"/>
              <w:keepLines w:val="0"/>
              <w:widowControl/>
              <w:suppressLineNumbers w:val="0"/>
              <w:kinsoku/>
              <w:autoSpaceDE/>
              <w:autoSpaceDN/>
              <w:adjustRightInd/>
              <w:snapToGrid/>
              <w:jc w:val="center"/>
              <w:textAlignment w:val="center"/>
              <w:rPr>
                <w:rFonts w:hint="eastAsia" w:ascii="宋体" w:hAnsi="宋体" w:eastAsia="宋体" w:cs="宋体"/>
                <w:b/>
                <w:bCs/>
                <w:i w:val="0"/>
                <w:iCs w:val="0"/>
                <w:snapToGrid/>
                <w:color w:val="000000"/>
                <w:kern w:val="0"/>
                <w:sz w:val="22"/>
                <w:szCs w:val="22"/>
                <w:u w:val="none"/>
                <w:lang w:val="en-US" w:eastAsia="zh-CN" w:bidi="ar"/>
              </w:rPr>
            </w:pPr>
          </w:p>
        </w:tc>
        <w:tc>
          <w:tcPr>
            <w:tcW w:w="1815" w:type="dxa"/>
            <w:gridSpan w:val="3"/>
            <w:tcBorders>
              <w:top w:val="single" w:color="000000" w:sz="4" w:space="0"/>
              <w:left w:val="single" w:color="000000" w:sz="4" w:space="0"/>
              <w:bottom w:val="single" w:color="000000" w:sz="4" w:space="0"/>
              <w:right w:val="single" w:color="000000" w:sz="4" w:space="0"/>
            </w:tcBorders>
            <w:noWrap/>
            <w:vAlign w:val="center"/>
          </w:tcPr>
          <w:p w14:paraId="31209C1E">
            <w:pPr>
              <w:keepNext w:val="0"/>
              <w:keepLines w:val="0"/>
              <w:widowControl/>
              <w:suppressLineNumbers w:val="0"/>
              <w:kinsoku/>
              <w:autoSpaceDE/>
              <w:autoSpaceDN/>
              <w:adjustRightInd/>
              <w:snapToGrid/>
              <w:jc w:val="center"/>
              <w:textAlignment w:val="center"/>
              <w:rPr>
                <w:rFonts w:hint="eastAsia" w:ascii="宋体" w:hAnsi="宋体" w:eastAsia="宋体" w:cs="宋体"/>
                <w:b/>
                <w:bCs/>
                <w:i w:val="0"/>
                <w:iCs w:val="0"/>
                <w:snapToGrid/>
                <w:color w:val="000000"/>
                <w:kern w:val="2"/>
                <w:sz w:val="22"/>
                <w:szCs w:val="22"/>
                <w:u w:val="none"/>
                <w:lang w:eastAsia="zh-CN"/>
              </w:rPr>
            </w:pPr>
          </w:p>
        </w:tc>
        <w:tc>
          <w:tcPr>
            <w:tcW w:w="1829" w:type="dxa"/>
            <w:tcBorders>
              <w:top w:val="single" w:color="000000" w:sz="4" w:space="0"/>
              <w:left w:val="single" w:color="000000" w:sz="4" w:space="0"/>
              <w:bottom w:val="single" w:color="000000" w:sz="4" w:space="0"/>
              <w:right w:val="single" w:color="000000" w:sz="4" w:space="0"/>
            </w:tcBorders>
            <w:noWrap w:val="0"/>
            <w:vAlign w:val="top"/>
          </w:tcPr>
          <w:p w14:paraId="78CD0C54">
            <w:pPr>
              <w:keepNext w:val="0"/>
              <w:keepLines w:val="0"/>
              <w:widowControl/>
              <w:suppressLineNumbers w:val="0"/>
              <w:kinsoku/>
              <w:autoSpaceDE/>
              <w:autoSpaceDN/>
              <w:adjustRightInd/>
              <w:snapToGrid/>
              <w:jc w:val="left"/>
              <w:textAlignment w:val="top"/>
              <w:rPr>
                <w:rFonts w:hint="default" w:ascii="方正粗黑宋简体" w:hAnsi="方正粗黑宋简体" w:eastAsia="方正粗黑宋简体" w:cs="方正粗黑宋简体"/>
                <w:i w:val="0"/>
                <w:iCs w:val="0"/>
                <w:snapToGrid/>
                <w:color w:val="000000"/>
                <w:kern w:val="2"/>
                <w:sz w:val="18"/>
                <w:szCs w:val="18"/>
                <w:u w:val="none"/>
                <w:lang w:eastAsia="zh-CN"/>
              </w:rPr>
            </w:pPr>
          </w:p>
        </w:tc>
      </w:tr>
      <w:tr w14:paraId="5936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gridSpan w:val="2"/>
            <w:tcBorders>
              <w:top w:val="nil"/>
              <w:left w:val="nil"/>
              <w:bottom w:val="nil"/>
              <w:right w:val="nil"/>
            </w:tcBorders>
            <w:noWrap/>
            <w:vAlign w:val="center"/>
          </w:tcPr>
          <w:p w14:paraId="080A9A93">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998" w:type="dxa"/>
            <w:gridSpan w:val="2"/>
            <w:tcBorders>
              <w:top w:val="nil"/>
              <w:left w:val="nil"/>
              <w:bottom w:val="nil"/>
              <w:right w:val="nil"/>
            </w:tcBorders>
            <w:noWrap/>
            <w:vAlign w:val="center"/>
          </w:tcPr>
          <w:p w14:paraId="1F411DC7">
            <w:pPr>
              <w:widowControl w:val="0"/>
              <w:kinsoku/>
              <w:autoSpaceDE/>
              <w:autoSpaceDN/>
              <w:adjustRightInd/>
              <w:snapToGrid/>
              <w:jc w:val="center"/>
              <w:textAlignment w:val="auto"/>
              <w:rPr>
                <w:rFonts w:hint="eastAsia" w:ascii="宋体" w:hAnsi="宋体" w:eastAsia="宋体" w:cs="宋体"/>
                <w:i w:val="0"/>
                <w:iCs w:val="0"/>
                <w:snapToGrid/>
                <w:color w:val="000000"/>
                <w:kern w:val="2"/>
                <w:sz w:val="22"/>
                <w:szCs w:val="22"/>
                <w:u w:val="none"/>
                <w:lang w:eastAsia="zh-CN"/>
              </w:rPr>
            </w:pPr>
          </w:p>
        </w:tc>
        <w:tc>
          <w:tcPr>
            <w:tcW w:w="1164" w:type="dxa"/>
            <w:tcBorders>
              <w:top w:val="nil"/>
              <w:left w:val="nil"/>
              <w:bottom w:val="nil"/>
              <w:right w:val="nil"/>
            </w:tcBorders>
            <w:noWrap/>
            <w:vAlign w:val="center"/>
          </w:tcPr>
          <w:p w14:paraId="26CEE501">
            <w:pPr>
              <w:widowControl w:val="0"/>
              <w:kinsoku/>
              <w:autoSpaceDE/>
              <w:autoSpaceDN/>
              <w:adjustRightInd/>
              <w:snapToGrid/>
              <w:jc w:val="left"/>
              <w:textAlignment w:val="auto"/>
              <w:rPr>
                <w:rFonts w:hint="eastAsia" w:ascii="宋体" w:hAnsi="宋体" w:eastAsia="宋体" w:cs="宋体"/>
                <w:i w:val="0"/>
                <w:iCs w:val="0"/>
                <w:snapToGrid/>
                <w:color w:val="000000"/>
                <w:kern w:val="2"/>
                <w:sz w:val="22"/>
                <w:szCs w:val="22"/>
                <w:u w:val="none"/>
                <w:lang w:eastAsia="zh-CN"/>
              </w:rPr>
            </w:pPr>
          </w:p>
        </w:tc>
        <w:tc>
          <w:tcPr>
            <w:tcW w:w="1123" w:type="dxa"/>
            <w:tcBorders>
              <w:top w:val="nil"/>
              <w:left w:val="nil"/>
              <w:bottom w:val="nil"/>
              <w:right w:val="nil"/>
            </w:tcBorders>
            <w:noWrap/>
            <w:vAlign w:val="center"/>
          </w:tcPr>
          <w:p w14:paraId="661A41F0">
            <w:pPr>
              <w:widowControl w:val="0"/>
              <w:kinsoku/>
              <w:autoSpaceDE/>
              <w:autoSpaceDN/>
              <w:adjustRightInd/>
              <w:snapToGrid/>
              <w:jc w:val="left"/>
              <w:textAlignment w:val="auto"/>
              <w:rPr>
                <w:rFonts w:hint="eastAsia" w:ascii="宋体" w:hAnsi="宋体" w:eastAsia="宋体" w:cs="宋体"/>
                <w:i w:val="0"/>
                <w:iCs w:val="0"/>
                <w:snapToGrid/>
                <w:color w:val="000000"/>
                <w:kern w:val="2"/>
                <w:sz w:val="22"/>
                <w:szCs w:val="22"/>
                <w:u w:val="none"/>
                <w:lang w:eastAsia="zh-CN"/>
              </w:rPr>
            </w:pPr>
          </w:p>
        </w:tc>
        <w:tc>
          <w:tcPr>
            <w:tcW w:w="1123" w:type="dxa"/>
            <w:gridSpan w:val="2"/>
            <w:tcBorders>
              <w:top w:val="nil"/>
              <w:left w:val="nil"/>
              <w:bottom w:val="nil"/>
              <w:right w:val="nil"/>
            </w:tcBorders>
            <w:noWrap/>
            <w:vAlign w:val="center"/>
          </w:tcPr>
          <w:p w14:paraId="79CF7B1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123" w:type="dxa"/>
            <w:gridSpan w:val="2"/>
            <w:tcBorders>
              <w:top w:val="nil"/>
              <w:left w:val="nil"/>
              <w:bottom w:val="nil"/>
              <w:right w:val="nil"/>
            </w:tcBorders>
            <w:noWrap/>
            <w:vAlign w:val="center"/>
          </w:tcPr>
          <w:p w14:paraId="495B633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95" w:type="dxa"/>
            <w:gridSpan w:val="2"/>
            <w:tcBorders>
              <w:top w:val="nil"/>
              <w:left w:val="nil"/>
              <w:bottom w:val="nil"/>
              <w:right w:val="nil"/>
            </w:tcBorders>
            <w:noWrap/>
            <w:vAlign w:val="center"/>
          </w:tcPr>
          <w:p w14:paraId="1669F0D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77" w:type="dxa"/>
            <w:gridSpan w:val="2"/>
            <w:tcBorders>
              <w:top w:val="nil"/>
              <w:left w:val="nil"/>
              <w:bottom w:val="nil"/>
              <w:right w:val="nil"/>
            </w:tcBorders>
            <w:noWrap/>
            <w:vAlign w:val="center"/>
          </w:tcPr>
          <w:p w14:paraId="5EEABEC6">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859" w:type="dxa"/>
            <w:gridSpan w:val="2"/>
            <w:tcBorders>
              <w:top w:val="nil"/>
              <w:left w:val="nil"/>
              <w:bottom w:val="nil"/>
              <w:right w:val="nil"/>
            </w:tcBorders>
            <w:noWrap/>
            <w:vAlign w:val="center"/>
          </w:tcPr>
          <w:p w14:paraId="0DCA1FAD">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63" w:type="dxa"/>
            <w:gridSpan w:val="2"/>
            <w:tcBorders>
              <w:top w:val="nil"/>
              <w:left w:val="nil"/>
              <w:bottom w:val="nil"/>
              <w:right w:val="nil"/>
            </w:tcBorders>
            <w:noWrap/>
            <w:vAlign w:val="center"/>
          </w:tcPr>
          <w:p w14:paraId="6FD4A160">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789" w:type="dxa"/>
            <w:tcBorders>
              <w:top w:val="nil"/>
              <w:left w:val="nil"/>
              <w:bottom w:val="nil"/>
              <w:right w:val="nil"/>
            </w:tcBorders>
            <w:noWrap/>
            <w:vAlign w:val="center"/>
          </w:tcPr>
          <w:p w14:paraId="226E1E7F">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26" w:type="dxa"/>
            <w:gridSpan w:val="2"/>
            <w:tcBorders>
              <w:top w:val="nil"/>
              <w:left w:val="nil"/>
              <w:bottom w:val="nil"/>
              <w:right w:val="nil"/>
            </w:tcBorders>
            <w:noWrap/>
            <w:vAlign w:val="center"/>
          </w:tcPr>
          <w:p w14:paraId="63FDD79F">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29" w:type="dxa"/>
            <w:tcBorders>
              <w:top w:val="nil"/>
              <w:left w:val="nil"/>
              <w:bottom w:val="nil"/>
              <w:right w:val="nil"/>
            </w:tcBorders>
            <w:noWrap/>
            <w:vAlign w:val="center"/>
          </w:tcPr>
          <w:p w14:paraId="33EB9C05">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r>
      <w:tr w14:paraId="7DB7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gridSpan w:val="2"/>
            <w:tcBorders>
              <w:top w:val="nil"/>
              <w:left w:val="nil"/>
              <w:bottom w:val="nil"/>
              <w:right w:val="nil"/>
            </w:tcBorders>
            <w:noWrap/>
            <w:vAlign w:val="center"/>
          </w:tcPr>
          <w:p w14:paraId="62234BCF">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5531" w:type="dxa"/>
            <w:gridSpan w:val="8"/>
            <w:tcBorders>
              <w:top w:val="nil"/>
              <w:left w:val="nil"/>
              <w:bottom w:val="nil"/>
              <w:right w:val="nil"/>
            </w:tcBorders>
            <w:noWrap/>
            <w:vAlign w:val="center"/>
          </w:tcPr>
          <w:p w14:paraId="7BDD2D9A">
            <w:pPr>
              <w:keepNext w:val="0"/>
              <w:keepLines w:val="0"/>
              <w:widowControl/>
              <w:suppressLineNumbers w:val="0"/>
              <w:kinsoku/>
              <w:autoSpaceDE/>
              <w:autoSpaceDN/>
              <w:adjustRightInd/>
              <w:snapToGrid/>
              <w:jc w:val="left"/>
              <w:textAlignment w:val="center"/>
              <w:rPr>
                <w:rFonts w:hint="eastAsia" w:ascii="宋体" w:hAnsi="宋体" w:eastAsia="宋体" w:cs="宋体"/>
                <w:i w:val="0"/>
                <w:iCs w:val="0"/>
                <w:snapToGrid/>
                <w:color w:val="000000"/>
                <w:kern w:val="2"/>
                <w:sz w:val="22"/>
                <w:szCs w:val="22"/>
                <w:u w:val="none"/>
                <w:lang w:eastAsia="zh-CN"/>
              </w:rPr>
            </w:pPr>
            <w:r>
              <w:rPr>
                <w:rStyle w:val="8"/>
                <w:snapToGrid/>
                <w:kern w:val="2"/>
                <w:lang w:val="en-US" w:eastAsia="zh-CN" w:bidi="ar"/>
              </w:rPr>
              <w:t>报价单位：</w:t>
            </w:r>
            <w:r>
              <w:rPr>
                <w:rStyle w:val="9"/>
                <w:snapToGrid/>
                <w:kern w:val="2"/>
                <w:lang w:val="en-US" w:eastAsia="zh-CN" w:bidi="ar"/>
              </w:rPr>
              <w:t xml:space="preserve">                </w:t>
            </w:r>
            <w:r>
              <w:rPr>
                <w:rStyle w:val="8"/>
                <w:snapToGrid/>
                <w:kern w:val="2"/>
                <w:lang w:val="en-US" w:eastAsia="zh-CN" w:bidi="ar"/>
              </w:rPr>
              <w:t>盖章</w:t>
            </w:r>
            <w:r>
              <w:rPr>
                <w:rStyle w:val="9"/>
                <w:snapToGrid/>
                <w:kern w:val="2"/>
                <w:lang w:val="en-US" w:eastAsia="zh-CN" w:bidi="ar"/>
              </w:rPr>
              <w:t xml:space="preserve">                 </w:t>
            </w:r>
            <w:r>
              <w:rPr>
                <w:rStyle w:val="8"/>
                <w:snapToGrid/>
                <w:kern w:val="2"/>
                <w:lang w:val="en-US" w:eastAsia="zh-CN" w:bidi="ar"/>
              </w:rPr>
              <w:t xml:space="preserve">               </w:t>
            </w:r>
          </w:p>
        </w:tc>
        <w:tc>
          <w:tcPr>
            <w:tcW w:w="1095" w:type="dxa"/>
            <w:gridSpan w:val="2"/>
            <w:tcBorders>
              <w:top w:val="nil"/>
              <w:left w:val="nil"/>
              <w:bottom w:val="nil"/>
              <w:right w:val="nil"/>
            </w:tcBorders>
            <w:noWrap/>
            <w:vAlign w:val="center"/>
          </w:tcPr>
          <w:p w14:paraId="4BB56A5D">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77" w:type="dxa"/>
            <w:gridSpan w:val="2"/>
            <w:tcBorders>
              <w:top w:val="nil"/>
              <w:left w:val="nil"/>
              <w:bottom w:val="nil"/>
              <w:right w:val="nil"/>
            </w:tcBorders>
            <w:noWrap/>
            <w:vAlign w:val="center"/>
          </w:tcPr>
          <w:p w14:paraId="71B5ED2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859" w:type="dxa"/>
            <w:gridSpan w:val="2"/>
            <w:tcBorders>
              <w:top w:val="nil"/>
              <w:left w:val="nil"/>
              <w:bottom w:val="nil"/>
              <w:right w:val="nil"/>
            </w:tcBorders>
            <w:noWrap/>
            <w:vAlign w:val="center"/>
          </w:tcPr>
          <w:p w14:paraId="2F1DEAB7">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63" w:type="dxa"/>
            <w:gridSpan w:val="2"/>
            <w:tcBorders>
              <w:top w:val="nil"/>
              <w:left w:val="nil"/>
              <w:bottom w:val="nil"/>
              <w:right w:val="nil"/>
            </w:tcBorders>
            <w:noWrap/>
            <w:vAlign w:val="center"/>
          </w:tcPr>
          <w:p w14:paraId="4187F7C3">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789" w:type="dxa"/>
            <w:tcBorders>
              <w:top w:val="nil"/>
              <w:left w:val="nil"/>
              <w:bottom w:val="nil"/>
              <w:right w:val="nil"/>
            </w:tcBorders>
            <w:noWrap/>
            <w:vAlign w:val="center"/>
          </w:tcPr>
          <w:p w14:paraId="5E787BB5">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26" w:type="dxa"/>
            <w:gridSpan w:val="2"/>
            <w:tcBorders>
              <w:top w:val="nil"/>
              <w:left w:val="nil"/>
              <w:bottom w:val="nil"/>
              <w:right w:val="nil"/>
            </w:tcBorders>
            <w:noWrap/>
            <w:vAlign w:val="center"/>
          </w:tcPr>
          <w:p w14:paraId="6BC3AC14">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29" w:type="dxa"/>
            <w:tcBorders>
              <w:top w:val="nil"/>
              <w:left w:val="nil"/>
              <w:bottom w:val="nil"/>
              <w:right w:val="nil"/>
            </w:tcBorders>
            <w:noWrap/>
            <w:vAlign w:val="center"/>
          </w:tcPr>
          <w:p w14:paraId="3CD0CE2F">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r>
      <w:tr w14:paraId="5721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gridSpan w:val="2"/>
            <w:tcBorders>
              <w:top w:val="nil"/>
              <w:left w:val="nil"/>
              <w:bottom w:val="nil"/>
              <w:right w:val="nil"/>
            </w:tcBorders>
            <w:noWrap/>
            <w:vAlign w:val="center"/>
          </w:tcPr>
          <w:p w14:paraId="11D26E2B">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998" w:type="dxa"/>
            <w:gridSpan w:val="2"/>
            <w:tcBorders>
              <w:top w:val="nil"/>
              <w:left w:val="nil"/>
              <w:bottom w:val="nil"/>
              <w:right w:val="nil"/>
            </w:tcBorders>
            <w:noWrap/>
            <w:vAlign w:val="center"/>
          </w:tcPr>
          <w:p w14:paraId="1D037FA7">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3410" w:type="dxa"/>
            <w:gridSpan w:val="4"/>
            <w:tcBorders>
              <w:top w:val="nil"/>
              <w:left w:val="nil"/>
              <w:bottom w:val="nil"/>
              <w:right w:val="nil"/>
            </w:tcBorders>
            <w:noWrap/>
            <w:vAlign w:val="center"/>
          </w:tcPr>
          <w:p w14:paraId="4E947270">
            <w:pPr>
              <w:widowControl w:val="0"/>
              <w:kinsoku/>
              <w:autoSpaceDE/>
              <w:autoSpaceDN/>
              <w:adjustRightInd/>
              <w:snapToGrid/>
              <w:jc w:val="right"/>
              <w:textAlignment w:val="auto"/>
              <w:rPr>
                <w:rFonts w:hint="eastAsia" w:ascii="宋体" w:hAnsi="宋体" w:eastAsia="宋体" w:cs="宋体"/>
                <w:i w:val="0"/>
                <w:iCs w:val="0"/>
                <w:snapToGrid/>
                <w:color w:val="000000"/>
                <w:kern w:val="2"/>
                <w:sz w:val="22"/>
                <w:szCs w:val="22"/>
                <w:u w:val="none"/>
                <w:lang w:eastAsia="zh-CN"/>
              </w:rPr>
            </w:pPr>
          </w:p>
        </w:tc>
        <w:tc>
          <w:tcPr>
            <w:tcW w:w="1123" w:type="dxa"/>
            <w:gridSpan w:val="2"/>
            <w:tcBorders>
              <w:top w:val="nil"/>
              <w:left w:val="nil"/>
              <w:bottom w:val="nil"/>
              <w:right w:val="nil"/>
            </w:tcBorders>
            <w:noWrap/>
            <w:vAlign w:val="center"/>
          </w:tcPr>
          <w:p w14:paraId="2B30642A">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95" w:type="dxa"/>
            <w:gridSpan w:val="2"/>
            <w:tcBorders>
              <w:top w:val="nil"/>
              <w:left w:val="nil"/>
              <w:bottom w:val="nil"/>
              <w:right w:val="nil"/>
            </w:tcBorders>
            <w:noWrap/>
            <w:vAlign w:val="center"/>
          </w:tcPr>
          <w:p w14:paraId="22F8A48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77" w:type="dxa"/>
            <w:gridSpan w:val="2"/>
            <w:tcBorders>
              <w:top w:val="nil"/>
              <w:left w:val="nil"/>
              <w:bottom w:val="nil"/>
              <w:right w:val="nil"/>
            </w:tcBorders>
            <w:noWrap/>
            <w:vAlign w:val="center"/>
          </w:tcPr>
          <w:p w14:paraId="36894409">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859" w:type="dxa"/>
            <w:gridSpan w:val="2"/>
            <w:tcBorders>
              <w:top w:val="nil"/>
              <w:left w:val="nil"/>
              <w:bottom w:val="nil"/>
              <w:right w:val="nil"/>
            </w:tcBorders>
            <w:noWrap/>
            <w:vAlign w:val="center"/>
          </w:tcPr>
          <w:p w14:paraId="71E6656A">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63" w:type="dxa"/>
            <w:gridSpan w:val="2"/>
            <w:tcBorders>
              <w:top w:val="nil"/>
              <w:left w:val="nil"/>
              <w:bottom w:val="nil"/>
              <w:right w:val="nil"/>
            </w:tcBorders>
            <w:noWrap/>
            <w:vAlign w:val="center"/>
          </w:tcPr>
          <w:p w14:paraId="5ED1F39A">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789" w:type="dxa"/>
            <w:tcBorders>
              <w:top w:val="nil"/>
              <w:left w:val="nil"/>
              <w:bottom w:val="nil"/>
              <w:right w:val="nil"/>
            </w:tcBorders>
            <w:noWrap/>
            <w:vAlign w:val="center"/>
          </w:tcPr>
          <w:p w14:paraId="3B41D9FA">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26" w:type="dxa"/>
            <w:gridSpan w:val="2"/>
            <w:tcBorders>
              <w:top w:val="nil"/>
              <w:left w:val="nil"/>
              <w:bottom w:val="nil"/>
              <w:right w:val="nil"/>
            </w:tcBorders>
            <w:noWrap/>
            <w:vAlign w:val="center"/>
          </w:tcPr>
          <w:p w14:paraId="19A51F31">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29" w:type="dxa"/>
            <w:tcBorders>
              <w:top w:val="nil"/>
              <w:left w:val="nil"/>
              <w:bottom w:val="nil"/>
              <w:right w:val="nil"/>
            </w:tcBorders>
            <w:noWrap/>
            <w:vAlign w:val="center"/>
          </w:tcPr>
          <w:p w14:paraId="65519465">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r>
      <w:tr w14:paraId="4C02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gridSpan w:val="2"/>
            <w:tcBorders>
              <w:top w:val="nil"/>
              <w:left w:val="nil"/>
              <w:bottom w:val="nil"/>
              <w:right w:val="nil"/>
            </w:tcBorders>
            <w:noWrap/>
            <w:vAlign w:val="center"/>
          </w:tcPr>
          <w:p w14:paraId="02465A18">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998" w:type="dxa"/>
            <w:gridSpan w:val="2"/>
            <w:tcBorders>
              <w:top w:val="nil"/>
              <w:left w:val="nil"/>
              <w:bottom w:val="nil"/>
              <w:right w:val="nil"/>
            </w:tcBorders>
            <w:noWrap/>
            <w:vAlign w:val="center"/>
          </w:tcPr>
          <w:p w14:paraId="028F1514">
            <w:pPr>
              <w:keepNext w:val="0"/>
              <w:keepLines w:val="0"/>
              <w:widowControl/>
              <w:suppressLineNumbers w:val="0"/>
              <w:kinsoku/>
              <w:autoSpaceDE/>
              <w:autoSpaceDN/>
              <w:adjustRightInd/>
              <w:snapToGrid/>
              <w:jc w:val="left"/>
              <w:textAlignment w:val="center"/>
              <w:rPr>
                <w:rFonts w:hint="eastAsia" w:ascii="宋体" w:hAnsi="宋体" w:eastAsia="宋体" w:cs="宋体"/>
                <w:i w:val="0"/>
                <w:iCs w:val="0"/>
                <w:snapToGrid/>
                <w:color w:val="000000"/>
                <w:kern w:val="2"/>
                <w:sz w:val="22"/>
                <w:szCs w:val="22"/>
                <w:u w:val="none"/>
                <w:lang w:eastAsia="zh-CN"/>
              </w:rPr>
            </w:pPr>
            <w:r>
              <w:rPr>
                <w:rFonts w:hint="eastAsia" w:ascii="宋体" w:hAnsi="宋体" w:eastAsia="宋体" w:cs="宋体"/>
                <w:i w:val="0"/>
                <w:iCs w:val="0"/>
                <w:snapToGrid/>
                <w:color w:val="000000"/>
                <w:kern w:val="0"/>
                <w:sz w:val="22"/>
                <w:szCs w:val="22"/>
                <w:u w:val="none"/>
                <w:lang w:val="en-US" w:eastAsia="zh-CN" w:bidi="ar"/>
              </w:rPr>
              <w:t>联系人</w:t>
            </w:r>
          </w:p>
        </w:tc>
        <w:tc>
          <w:tcPr>
            <w:tcW w:w="2287" w:type="dxa"/>
            <w:gridSpan w:val="2"/>
            <w:tcBorders>
              <w:top w:val="nil"/>
              <w:left w:val="nil"/>
              <w:bottom w:val="nil"/>
              <w:right w:val="nil"/>
            </w:tcBorders>
            <w:noWrap/>
            <w:vAlign w:val="center"/>
          </w:tcPr>
          <w:p w14:paraId="60306173">
            <w:pPr>
              <w:keepNext w:val="0"/>
              <w:keepLines w:val="0"/>
              <w:widowControl/>
              <w:suppressLineNumbers w:val="0"/>
              <w:kinsoku/>
              <w:autoSpaceDE/>
              <w:autoSpaceDN/>
              <w:adjustRightInd/>
              <w:snapToGrid/>
              <w:jc w:val="left"/>
              <w:textAlignment w:val="center"/>
              <w:rPr>
                <w:rFonts w:hint="eastAsia" w:ascii="宋体" w:hAnsi="宋体" w:eastAsia="宋体" w:cs="宋体"/>
                <w:i/>
                <w:iCs/>
                <w:snapToGrid/>
                <w:color w:val="000000"/>
                <w:kern w:val="2"/>
                <w:sz w:val="22"/>
                <w:szCs w:val="22"/>
                <w:u w:val="single"/>
                <w:lang w:eastAsia="zh-CN"/>
              </w:rPr>
            </w:pPr>
            <w:r>
              <w:rPr>
                <w:rFonts w:hint="eastAsia" w:ascii="宋体" w:hAnsi="宋体" w:eastAsia="宋体" w:cs="宋体"/>
                <w:i/>
                <w:iCs/>
                <w:snapToGrid/>
                <w:color w:val="000000"/>
                <w:kern w:val="0"/>
                <w:sz w:val="22"/>
                <w:szCs w:val="22"/>
                <w:u w:val="single"/>
                <w:lang w:val="en-US" w:eastAsia="zh-CN" w:bidi="ar"/>
              </w:rPr>
              <w:t xml:space="preserve">                   </w:t>
            </w:r>
          </w:p>
        </w:tc>
        <w:tc>
          <w:tcPr>
            <w:tcW w:w="1123" w:type="dxa"/>
            <w:gridSpan w:val="2"/>
            <w:tcBorders>
              <w:top w:val="nil"/>
              <w:left w:val="nil"/>
              <w:bottom w:val="nil"/>
              <w:right w:val="nil"/>
            </w:tcBorders>
            <w:noWrap/>
            <w:vAlign w:val="center"/>
          </w:tcPr>
          <w:p w14:paraId="5CCD6243">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123" w:type="dxa"/>
            <w:gridSpan w:val="2"/>
            <w:tcBorders>
              <w:top w:val="nil"/>
              <w:left w:val="nil"/>
              <w:bottom w:val="nil"/>
              <w:right w:val="nil"/>
            </w:tcBorders>
            <w:noWrap/>
            <w:vAlign w:val="center"/>
          </w:tcPr>
          <w:p w14:paraId="39EEE461">
            <w:pPr>
              <w:keepNext w:val="0"/>
              <w:keepLines w:val="0"/>
              <w:widowControl/>
              <w:suppressLineNumbers w:val="0"/>
              <w:kinsoku/>
              <w:autoSpaceDE/>
              <w:autoSpaceDN/>
              <w:adjustRightInd/>
              <w:snapToGrid/>
              <w:jc w:val="center"/>
              <w:textAlignment w:val="center"/>
              <w:rPr>
                <w:rFonts w:hint="eastAsia" w:ascii="宋体" w:hAnsi="宋体" w:eastAsia="宋体" w:cs="宋体"/>
                <w:i w:val="0"/>
                <w:iCs w:val="0"/>
                <w:snapToGrid/>
                <w:color w:val="000000"/>
                <w:kern w:val="2"/>
                <w:sz w:val="22"/>
                <w:szCs w:val="22"/>
                <w:u w:val="none"/>
                <w:lang w:eastAsia="zh-CN"/>
              </w:rPr>
            </w:pPr>
            <w:r>
              <w:rPr>
                <w:rFonts w:hint="eastAsia" w:ascii="宋体" w:hAnsi="宋体" w:eastAsia="宋体" w:cs="宋体"/>
                <w:i w:val="0"/>
                <w:iCs w:val="0"/>
                <w:snapToGrid/>
                <w:color w:val="000000"/>
                <w:kern w:val="0"/>
                <w:sz w:val="22"/>
                <w:szCs w:val="22"/>
                <w:u w:val="none"/>
                <w:lang w:val="en-US" w:eastAsia="zh-CN" w:bidi="ar"/>
              </w:rPr>
              <w:t>电话</w:t>
            </w:r>
          </w:p>
        </w:tc>
        <w:tc>
          <w:tcPr>
            <w:tcW w:w="3031" w:type="dxa"/>
            <w:gridSpan w:val="6"/>
            <w:tcBorders>
              <w:top w:val="nil"/>
              <w:left w:val="nil"/>
              <w:bottom w:val="nil"/>
              <w:right w:val="nil"/>
            </w:tcBorders>
            <w:noWrap/>
            <w:vAlign w:val="center"/>
          </w:tcPr>
          <w:p w14:paraId="3B407908">
            <w:pPr>
              <w:keepNext w:val="0"/>
              <w:keepLines w:val="0"/>
              <w:widowControl/>
              <w:suppressLineNumbers w:val="0"/>
              <w:kinsoku/>
              <w:autoSpaceDE/>
              <w:autoSpaceDN/>
              <w:adjustRightInd/>
              <w:snapToGrid/>
              <w:jc w:val="left"/>
              <w:textAlignment w:val="center"/>
              <w:rPr>
                <w:rFonts w:hint="eastAsia" w:ascii="宋体" w:hAnsi="宋体" w:eastAsia="宋体" w:cs="宋体"/>
                <w:i w:val="0"/>
                <w:iCs w:val="0"/>
                <w:snapToGrid/>
                <w:color w:val="000000"/>
                <w:kern w:val="2"/>
                <w:sz w:val="22"/>
                <w:szCs w:val="22"/>
                <w:u w:val="single"/>
                <w:lang w:eastAsia="zh-CN"/>
              </w:rPr>
            </w:pPr>
            <w:r>
              <w:rPr>
                <w:rStyle w:val="9"/>
                <w:snapToGrid/>
                <w:kern w:val="2"/>
                <w:lang w:val="en-US" w:eastAsia="zh-CN" w:bidi="ar"/>
              </w:rPr>
              <w:t xml:space="preserve">                 </w:t>
            </w:r>
            <w:r>
              <w:rPr>
                <w:rStyle w:val="8"/>
                <w:snapToGrid/>
                <w:kern w:val="2"/>
                <w:u w:val="single"/>
                <w:lang w:val="en-US" w:eastAsia="zh-CN" w:bidi="ar"/>
              </w:rPr>
              <w:t xml:space="preserve">           </w:t>
            </w:r>
          </w:p>
        </w:tc>
        <w:tc>
          <w:tcPr>
            <w:tcW w:w="1863" w:type="dxa"/>
            <w:gridSpan w:val="2"/>
            <w:tcBorders>
              <w:top w:val="nil"/>
              <w:left w:val="nil"/>
              <w:bottom w:val="nil"/>
              <w:right w:val="nil"/>
            </w:tcBorders>
            <w:noWrap/>
            <w:vAlign w:val="center"/>
          </w:tcPr>
          <w:p w14:paraId="3053E341">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789" w:type="dxa"/>
            <w:tcBorders>
              <w:top w:val="nil"/>
              <w:left w:val="nil"/>
              <w:bottom w:val="nil"/>
              <w:right w:val="nil"/>
            </w:tcBorders>
            <w:noWrap/>
            <w:vAlign w:val="center"/>
          </w:tcPr>
          <w:p w14:paraId="10F55AAD">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026" w:type="dxa"/>
            <w:gridSpan w:val="2"/>
            <w:tcBorders>
              <w:top w:val="nil"/>
              <w:left w:val="nil"/>
              <w:bottom w:val="nil"/>
              <w:right w:val="nil"/>
            </w:tcBorders>
            <w:noWrap/>
            <w:vAlign w:val="center"/>
          </w:tcPr>
          <w:p w14:paraId="13D29433">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c>
          <w:tcPr>
            <w:tcW w:w="1829" w:type="dxa"/>
            <w:tcBorders>
              <w:top w:val="nil"/>
              <w:left w:val="nil"/>
              <w:bottom w:val="nil"/>
              <w:right w:val="nil"/>
            </w:tcBorders>
            <w:noWrap/>
            <w:vAlign w:val="center"/>
          </w:tcPr>
          <w:p w14:paraId="60FD3E32">
            <w:pPr>
              <w:widowControl w:val="0"/>
              <w:kinsoku/>
              <w:autoSpaceDE/>
              <w:autoSpaceDN/>
              <w:adjustRightInd/>
              <w:snapToGrid/>
              <w:jc w:val="both"/>
              <w:textAlignment w:val="auto"/>
              <w:rPr>
                <w:rFonts w:hint="eastAsia" w:ascii="宋体" w:hAnsi="宋体" w:eastAsia="宋体" w:cs="宋体"/>
                <w:i w:val="0"/>
                <w:iCs w:val="0"/>
                <w:snapToGrid/>
                <w:color w:val="000000"/>
                <w:kern w:val="2"/>
                <w:sz w:val="22"/>
                <w:szCs w:val="22"/>
                <w:u w:val="none"/>
                <w:lang w:eastAsia="zh-CN"/>
              </w:rPr>
            </w:pPr>
          </w:p>
        </w:tc>
      </w:tr>
    </w:tbl>
    <w:p w14:paraId="12D35EBA">
      <w:pPr>
        <w:keepNext w:val="0"/>
        <w:keepLines w:val="0"/>
        <w:widowControl/>
        <w:numPr>
          <w:ilvl w:val="0"/>
          <w:numId w:val="0"/>
        </w:numPr>
        <w:suppressLineNumbers w:val="0"/>
        <w:kinsoku/>
        <w:autoSpaceDE/>
        <w:autoSpaceDN/>
        <w:adjustRightInd/>
        <w:snapToGrid/>
        <w:jc w:val="left"/>
        <w:textAlignment w:val="top"/>
        <w:rPr>
          <w:rFonts w:hint="default"/>
          <w:lang w:val="en-US" w:eastAsia="zh-CN"/>
        </w:rPr>
      </w:pPr>
    </w:p>
    <w:sectPr>
      <w:pgSz w:w="16838" w:h="11906" w:orient="landscape"/>
      <w:pgMar w:top="1134"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6B1FDD-CCB0-4B40-99FE-8FADB3B38F6A}"/>
  </w:font>
  <w:font w:name="黑体">
    <w:panose1 w:val="02010609060101010101"/>
    <w:charset w:val="86"/>
    <w:family w:val="auto"/>
    <w:pitch w:val="default"/>
    <w:sig w:usb0="800002BF" w:usb1="38CF7CFA" w:usb2="00000016" w:usb3="00000000" w:csb0="00040001" w:csb1="00000000"/>
    <w:embedRegular r:id="rId2" w:fontKey="{3E35C6DC-4C84-41FB-9F49-4DD32B3AD0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95877D-CECC-41A9-A7A5-EFB59B23C904}"/>
  </w:font>
  <w:font w:name="仿宋">
    <w:panose1 w:val="02010609060101010101"/>
    <w:charset w:val="86"/>
    <w:family w:val="auto"/>
    <w:pitch w:val="default"/>
    <w:sig w:usb0="800002BF" w:usb1="38CF7CFA" w:usb2="00000016" w:usb3="00000000" w:csb0="00040001" w:csb1="00000000"/>
    <w:embedRegular r:id="rId4" w:fontKey="{DC2B96D1-1D49-4423-A15F-0F3B847C89B3}"/>
  </w:font>
  <w:font w:name="微软雅黑">
    <w:panose1 w:val="020B0503020204020204"/>
    <w:charset w:val="86"/>
    <w:family w:val="auto"/>
    <w:pitch w:val="default"/>
    <w:sig w:usb0="80000287" w:usb1="2ACF3C50" w:usb2="00000016" w:usb3="00000000" w:csb0="0004001F" w:csb1="00000000"/>
    <w:embedRegular r:id="rId5" w:fontKey="{409F9881-33FB-4CE9-845C-5215481279CF}"/>
  </w:font>
  <w:font w:name="方正粗黑宋简体">
    <w:altName w:val="宋体"/>
    <w:panose1 w:val="02000000000000000000"/>
    <w:charset w:val="86"/>
    <w:family w:val="auto"/>
    <w:pitch w:val="default"/>
    <w:sig w:usb0="00000000" w:usb1="00000000" w:usb2="00000012" w:usb3="00000000" w:csb0="00040001" w:csb1="00000000"/>
    <w:embedRegular r:id="rId6" w:fontKey="{DACA66B8-42C5-422F-8A5A-D73FE856D379}"/>
  </w:font>
  <w:font w:name="方正小标宋_GBK">
    <w:panose1 w:val="03000509000000000000"/>
    <w:charset w:val="86"/>
    <w:family w:val="auto"/>
    <w:pitch w:val="default"/>
    <w:sig w:usb0="00000001" w:usb1="080E0000" w:usb2="00000000" w:usb3="00000000" w:csb0="00040000" w:csb1="00000000"/>
    <w:embedRegular r:id="rId7" w:fontKey="{3B0161AB-32F6-4CA7-A419-635431AE24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0FB62F5"/>
    <w:rsid w:val="023C5B3E"/>
    <w:rsid w:val="11B60DF2"/>
    <w:rsid w:val="14060DE1"/>
    <w:rsid w:val="1A8A3DEE"/>
    <w:rsid w:val="208C1B79"/>
    <w:rsid w:val="22EC3898"/>
    <w:rsid w:val="2A952A67"/>
    <w:rsid w:val="307D1FD3"/>
    <w:rsid w:val="31BE213F"/>
    <w:rsid w:val="34AE6BFF"/>
    <w:rsid w:val="3A0B0650"/>
    <w:rsid w:val="3F6A7328"/>
    <w:rsid w:val="40AD06B3"/>
    <w:rsid w:val="42594B93"/>
    <w:rsid w:val="43A35F21"/>
    <w:rsid w:val="44F248E6"/>
    <w:rsid w:val="45AD2F03"/>
    <w:rsid w:val="476B0980"/>
    <w:rsid w:val="4B165FFD"/>
    <w:rsid w:val="4CC944B6"/>
    <w:rsid w:val="4E0336C0"/>
    <w:rsid w:val="53CC7328"/>
    <w:rsid w:val="558C6691"/>
    <w:rsid w:val="59F20E17"/>
    <w:rsid w:val="5BAA5AC3"/>
    <w:rsid w:val="5CC22998"/>
    <w:rsid w:val="5E8C14B0"/>
    <w:rsid w:val="5E917ED6"/>
    <w:rsid w:val="5F2711D9"/>
    <w:rsid w:val="610B1757"/>
    <w:rsid w:val="6320666B"/>
    <w:rsid w:val="63C07160"/>
    <w:rsid w:val="66785936"/>
    <w:rsid w:val="69E118BA"/>
    <w:rsid w:val="6D062D75"/>
    <w:rsid w:val="6DDB1B0C"/>
    <w:rsid w:val="70A210E3"/>
    <w:rsid w:val="70B02420"/>
    <w:rsid w:val="76361FD5"/>
    <w:rsid w:val="77E85551"/>
    <w:rsid w:val="7DA261A2"/>
    <w:rsid w:val="7E02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font01"/>
    <w:qFormat/>
    <w:uiPriority w:val="0"/>
    <w:rPr>
      <w:rFonts w:hint="eastAsia" w:ascii="宋体" w:hAnsi="宋体" w:eastAsia="宋体" w:cs="宋体"/>
      <w:color w:val="000000"/>
      <w:sz w:val="22"/>
      <w:szCs w:val="22"/>
      <w:u w:val="none"/>
    </w:rPr>
  </w:style>
  <w:style w:type="character" w:customStyle="1" w:styleId="9">
    <w:name w:val="font7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1663</Characters>
  <Lines>0</Lines>
  <Paragraphs>0</Paragraphs>
  <TotalTime>13</TotalTime>
  <ScaleCrop>false</ScaleCrop>
  <LinksUpToDate>false</LinksUpToDate>
  <CharactersWithSpaces>2113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dcterms:modified xsi:type="dcterms:W3CDTF">2025-08-21T09:45:06Z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9E71A415579B4FD48BD9CA065B616928_13</vt:lpwstr>
  </property>
  <property fmtid="{D5CDD505-2E9C-101B-9397-08002B2CF9AE}" pid="4" name="KSOTemplateDocerSaveRecord">
    <vt:lpwstr>eyJoZGlkIjoiMTQ1MjViMTYxN2JhZGMzZmJmZDM2YTAyZDMzMjFmZjQiLCJ1c2VySWQiOiIzODY3NTk5NjgifQ==</vt:lpwstr>
  </property>
</Properties>
</file>